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006"/>
        <w:pBdr/>
        <w:spacing/>
        <w:ind/>
        <w:rPr/>
      </w:pP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Aguamod </w:t>
      </w:r>
      <w:r>
        <w:rPr>
          <w:rFonts w:asciiTheme="majorHAnsi" w:hAnsiTheme="majorHAnsi"/>
          <w:b/>
          <w:bCs/>
          <w:color w:val="072bd9"/>
          <w:sz w:val="116"/>
          <w:szCs w:val="116"/>
        </w:rPr>
        <w:t xml:space="preserve">– </w:t>
      </w:r>
      <w:r>
        <w:rPr>
          <w:rFonts w:asciiTheme="majorHAnsi" w:hAnsiTheme="majorHAnsi"/>
          <w:b/>
          <w:bCs/>
          <w:color w:val="072bd9"/>
          <w:sz w:val="116"/>
          <w:szCs w:val="116"/>
        </w:rPr>
        <w:t xml:space="preserve">Παιδαγωγικές ακολουθίες  </w:t>
      </w:r>
      <w:r>
        <w:rPr>
          <w:rFonts w:asciiTheme="majorHAnsi" w:hAnsiTheme="majorHAnsi"/>
          <w:b/>
          <w:bCs/>
          <w:color w:val="072bd9"/>
          <w:sz w:val="120"/>
          <w:szCs w:val="120"/>
        </w:rPr>
      </w:r>
    </w:p>
    <w:p>
      <w:pPr>
        <w:pBdr/>
        <w:spacing/>
        <w:ind/>
        <w:rPr>
          <w:rFonts w:asciiTheme="majorHAnsi" w:hAnsiTheme="majorHAnsi"/>
          <w:color w:val="072bd9"/>
          <w:sz w:val="56"/>
          <w:szCs w:val="56"/>
        </w:rPr>
      </w:pPr>
      <w:r>
        <w:rPr>
          <w:rFonts w:asciiTheme="majorHAnsi" w:hAnsiTheme="majorHAnsi"/>
          <w:color w:val="072bd9"/>
          <w:sz w:val="56"/>
          <w:szCs w:val="56"/>
        </w:rPr>
        <w:t xml:space="preserve">Από την UDC</w:t>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Δεκέμβρι</w:t>
      </w:r>
      <w:r>
        <w:rPr>
          <w:rFonts w:asciiTheme="majorHAnsi" w:hAnsiTheme="majorHAnsi"/>
          <w:color w:val="072bd9"/>
          <w:sz w:val="32"/>
          <w:szCs w:val="32"/>
        </w:rPr>
        <w:t xml:space="preserve">ος </w:t>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2024</w:t>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p>
    <w:sdt>
      <w:sdtPr>
        <w15:appearance w15:val="boundingBox"/>
        <w:id w:val="-1880235560"/>
        <w:docPartObj>
          <w:docPartGallery w:val="Table of Contents"/>
          <w:docPartUnique w:val="true"/>
        </w:docPartObj>
        <w:rPr>
          <w:rFonts w:asciiTheme="minorHAnsi" w:hAnsiTheme="minorHAnsi" w:eastAsiaTheme="minorEastAsia" w:cstheme="minorBidi"/>
          <w:b w:val="0"/>
          <w:caps w:val="0"/>
          <w:color w:val="03156c" w:themeColor="accent3" w:themeShade="80"/>
          <w:spacing w:val="0"/>
          <w:sz w:val="24"/>
          <w:szCs w:val="24"/>
        </w:rPr>
      </w:sdtPr>
      <w:sdtContent>
        <w:p>
          <w:pPr>
            <w:pStyle w:val="1005"/>
            <w:pBdr/>
            <w:spacing/>
            <w:ind/>
            <w:rPr/>
          </w:pPr>
          <w:r/>
          <w:bookmarkStart w:id="0" w:name="_Toc24564156"/>
          <w:r>
            <w:t xml:space="preserve">Περιεχόμενα</w:t>
          </w:r>
          <w:r/>
        </w:p>
        <w:p>
          <w:pPr>
            <w:pStyle w:val="1006"/>
            <w:pBdr/>
            <w:spacing/>
            <w:ind/>
            <w:rPr>
              <w:rFonts w:eastAsiaTheme="minorEastAsia"/>
              <w:color w:val="auto"/>
              <w:sz w:val="22"/>
              <w:lang w:eastAsia="de-AT"/>
            </w:rPr>
          </w:pPr>
          <w:r>
            <w:fldChar w:fldCharType="begin"/>
          </w:r>
          <w:r>
            <w:instrText xml:space="preserve"> TOC \o "1-3" \h \z \u </w:instrText>
          </w:r>
          <w:r>
            <w:fldChar w:fldCharType="separate"/>
          </w:r>
          <w:hyperlink w:tooltip="#_Toc181806962" w:anchor="_Toc181806962" w:history="1">
            <w:r>
              <w:rPr>
                <w:rStyle w:val="1007"/>
              </w:rPr>
              <w:t xml:space="preserve">1.</w:t>
            </w:r>
            <w:r>
              <w:rPr>
                <w:rFonts w:eastAsiaTheme="minorEastAsia"/>
                <w:color w:val="auto"/>
                <w:sz w:val="22"/>
                <w:lang w:eastAsia="de-AT"/>
              </w:rPr>
              <w:tab/>
            </w:r>
            <w:r>
              <w:rPr>
                <w:rStyle w:val="1007"/>
              </w:rPr>
              <w:t xml:space="preserve">Παιδαγωγικές ακολουθίες – πρότυπο</w:t>
            </w:r>
            <w:r>
              <w:tab/>
            </w:r>
            <w:r>
              <w:fldChar w:fldCharType="begin"/>
            </w:r>
            <w:r>
              <w:instrText xml:space="preserve"> PAGEREF _Toc181806962 \h </w:instrText>
            </w:r>
            <w:r>
              <w:fldChar w:fldCharType="separate"/>
            </w:r>
            <w:r>
              <w:t xml:space="preserve">2</w:t>
            </w:r>
            <w:r>
              <w:fldChar w:fldCharType="end"/>
            </w:r>
          </w:hyperlink>
          <w:r/>
          <w:r>
            <w:rPr>
              <w:rFonts w:eastAsiaTheme="minorEastAsia"/>
              <w:color w:val="auto"/>
              <w:sz w:val="22"/>
              <w:lang w:eastAsia="de-AT"/>
            </w:rPr>
          </w:r>
        </w:p>
        <w:p>
          <w:pPr>
            <w:pStyle w:val="1006"/>
            <w:pBdr/>
            <w:spacing/>
            <w:ind/>
            <w:rPr>
              <w:rFonts w:eastAsiaTheme="minorEastAsia"/>
              <w:color w:val="auto"/>
              <w:sz w:val="22"/>
              <w:lang w:eastAsia="de-AT"/>
            </w:rPr>
          </w:pPr>
          <w:r/>
          <w:hyperlink w:tooltip="#_Toc181806963" w:anchor="_Toc181806963" w:history="1">
            <w:r>
              <w:rPr>
                <w:rStyle w:val="1007"/>
              </w:rPr>
              <w:t xml:space="preserve">2.</w:t>
            </w:r>
            <w:r>
              <w:rPr>
                <w:rFonts w:eastAsiaTheme="minorEastAsia"/>
                <w:color w:val="auto"/>
                <w:sz w:val="22"/>
                <w:lang w:eastAsia="de-AT"/>
              </w:rPr>
              <w:tab/>
            </w:r>
            <w:r>
              <w:rPr>
                <w:rStyle w:val="1007"/>
              </w:rPr>
              <w:t xml:space="preserve">Παράδειγμα</w:t>
            </w:r>
            <w:r>
              <w:tab/>
            </w:r>
            <w:r>
              <w:fldChar w:fldCharType="begin"/>
            </w:r>
            <w:r>
              <w:instrText xml:space="preserve"> PAGEREF _Toc181806963 \h </w:instrText>
            </w:r>
            <w:r>
              <w:fldChar w:fldCharType="separate"/>
            </w:r>
            <w:r>
              <w:t xml:space="preserve">6</w:t>
            </w:r>
            <w:r>
              <w:fldChar w:fldCharType="end"/>
            </w:r>
          </w:hyperlink>
          <w:r/>
          <w:r>
            <w:rPr>
              <w:rFonts w:eastAsiaTheme="minorEastAsia"/>
              <w:color w:val="auto"/>
              <w:sz w:val="22"/>
              <w:lang w:eastAsia="de-AT"/>
            </w:rPr>
          </w:r>
        </w:p>
        <w:p>
          <w:pPr>
            <w:pBdr/>
            <w:spacing/>
            <w:ind/>
            <w:rPr/>
          </w:pPr>
          <w:r>
            <w:rPr>
              <w:b/>
              <w:bCs/>
            </w:rPr>
            <w:fldChar w:fldCharType="end"/>
          </w:r>
          <w:bookmarkEnd w:id="0"/>
          <w:r/>
          <w:r/>
        </w:p>
      </w:sdtContent>
    </w:sdt>
    <w:p>
      <w:pPr>
        <w:pBdr/>
        <w:spacing/>
        <w:ind/>
        <w:rPr/>
      </w:pPr>
      <w:r/>
      <w:r/>
    </w:p>
    <w:p>
      <w:pPr>
        <w:pStyle w:val="821"/>
        <w:numPr>
          <w:ilvl w:val="0"/>
          <w:numId w:val="2"/>
        </w:numPr>
        <w:pBdr/>
        <w:spacing/>
        <w:ind/>
        <w:rPr/>
      </w:pPr>
      <w:r/>
      <w:bookmarkStart w:id="1" w:name="_Toc181806962"/>
      <w:r>
        <w:t xml:space="preserve">Παιδαγωγικές ακολουθίες – </w:t>
      </w:r>
      <w:r>
        <w:t xml:space="preserve">πρότυπο</w:t>
      </w:r>
      <w:bookmarkEnd w:id="1"/>
      <w:r>
        <w:t xml:space="preserve"> </w:t>
      </w:r>
      <w:r/>
    </w:p>
    <w:p>
      <w:pPr>
        <w:pBdr/>
        <w:spacing/>
        <w:ind/>
        <w:jc w:val="left"/>
        <w:rPr/>
      </w:pPr>
      <w:r/>
      <w:r/>
    </w:p>
    <w:p>
      <w:pPr>
        <w:pBdr/>
        <w:spacing/>
        <w:ind/>
        <w:jc w:val="left"/>
        <w:rPr/>
      </w:pPr>
      <w:r>
        <w:t xml:space="preserve">Αποθηκεύστε το σύμφωνα με αυτό το παράδειγμα: </w:t>
      </w:r>
      <w:r>
        <w:t xml:space="preserve">«AGUAMOD_Spain»</w:t>
      </w:r>
      <w:r/>
    </w:p>
    <w:p>
      <w:pPr>
        <w:pBdr/>
        <w:spacing/>
        <w:ind/>
        <w:jc w:val="left"/>
        <w:rPr/>
      </w:pPr>
      <w:r/>
      <w:r/>
    </w:p>
    <w:p>
      <w:pPr>
        <w:pBdr/>
        <w:spacing/>
        <w:ind/>
        <w:jc w:val="left"/>
        <w:rPr/>
      </w:pPr>
      <w:r>
        <w:t xml:space="preserve">Όταν είστε έτοιμοι, μοιραστείτε την παιδαγωγική ακολουθία με τον οργανισμό-εταίρο σας που </w:t>
      </w:r>
      <w:r>
        <w:t xml:space="preserve">δημιουργεί μια παιδαγωγική ακολουθία για το ίδιο παιχνίδι και ενσωματώ</w:t>
      </w:r>
      <w:r>
        <w:t xml:space="preserve">στε τα σχόλια στη συνέχεια. Τα σχόλια δεν ακολουθούν συγκεκριμένη δομή και μπορούν να γραφτούν μέσω ηλεκτρονικού ταχυδρομείου (παρακαλώ να εισάγετε σε όλα τα ηλεκτρονικά μηνύματα με σχόλια πάντα την Olivia και τη Luz ως υπεύθυνες και υπεύθυνες ποιότητας). </w:t>
      </w:r>
      <w:r/>
    </w:p>
    <w:p>
      <w:pPr>
        <w:pBdr/>
        <w:spacing/>
        <w:ind/>
        <w:jc w:val="left"/>
        <w:rPr/>
      </w:pPr>
      <w:r/>
      <w:r/>
    </w:p>
    <w:p>
      <w:pPr>
        <w:pBdr/>
        <w:spacing/>
        <w:ind/>
        <w:jc w:val="left"/>
        <w:rPr/>
      </w:pPr>
      <w:r>
        <w:t xml:space="preserve">Αποθηκεύστε την πρώτη έκδοση (με τα σχόλια των συνεργατών που έχουν ενσωματωθεί) εδώ: </w:t>
      </w:r>
      <w:hyperlink r:id="rId16" w:tooltip="https://nextcloud.suedwind.at/index.php/s/7miNHpceogMtibL" w:history="1">
        <w:r>
          <w:rPr>
            <w:rStyle w:val="1007"/>
          </w:rPr>
          <w:t xml:space="preserve">https://nextcloud.suedwind.at/index.php/s/7miNHpceogMtibL</w:t>
        </w:r>
      </w:hyperlink>
      <w:r/>
      <w:r/>
    </w:p>
    <w:p>
      <w:pPr>
        <w:pBdr/>
        <w:spacing/>
        <w:ind/>
        <w:jc w:val="left"/>
        <w:rPr/>
      </w:pPr>
      <w:r/>
      <w:r/>
    </w:p>
    <w:p>
      <w:pPr>
        <w:pBdr/>
        <w:spacing/>
        <w:ind/>
        <w:jc w:val="left"/>
        <w:rPr/>
      </w:pPr>
      <w:r/>
      <w:r/>
    </w:p>
    <w:p>
      <w:pPr>
        <w:pBdr/>
        <w:spacing/>
        <w:ind/>
        <w:jc w:val="left"/>
        <w:rPr>
          <w:b/>
          <w:bCs/>
          <w:sz w:val="28"/>
          <w:szCs w:val="24"/>
        </w:rPr>
      </w:pPr>
      <w:r>
        <w:rPr>
          <w:b/>
          <w:bCs/>
          <w:sz w:val="28"/>
          <w:szCs w:val="24"/>
        </w:rPr>
        <w:br w:type="page" w:clear="all"/>
      </w:r>
      <w:r>
        <w:rPr>
          <w:b/>
          <w:bCs/>
          <w:sz w:val="28"/>
          <w:szCs w:val="24"/>
        </w:rPr>
      </w:r>
    </w:p>
    <w:p>
      <w:pPr>
        <w:pBdr/>
        <w:shd w:val="clear" w:color="auto" w:fill="9bfed6" w:themeFill="accent4" w:themeFillTint="66"/>
        <w:tabs>
          <w:tab w:val="left" w:leader="none" w:pos="2154"/>
        </w:tabs>
        <w:spacing/>
        <w:ind/>
        <w:rPr>
          <w:b/>
          <w:bCs/>
          <w:caps/>
          <w:sz w:val="36"/>
          <w:szCs w:val="32"/>
        </w:rPr>
      </w:pPr>
      <w:r>
        <w:rPr>
          <w:b/>
          <w:bCs/>
          <w:caps/>
          <w:sz w:val="36"/>
          <w:szCs w:val="32"/>
        </w:rPr>
        <w:t xml:space="preserve">AGUAMOD</w:t>
      </w:r>
      <w:r>
        <w:rPr>
          <w:b/>
          <w:bCs/>
          <w:caps/>
          <w:sz w:val="36"/>
          <w:szCs w:val="32"/>
        </w:rPr>
      </w:r>
    </w:p>
    <w:p>
      <w:pPr>
        <w:pStyle w:val="1047"/>
        <w:pBdr/>
        <w:spacing w:line="360" w:lineRule="auto"/>
        <w:ind/>
        <w:rPr/>
      </w:pPr>
      <w:r>
        <w:rPr>
          <w:b/>
        </w:rPr>
        <w:t xml:space="preserve">Σύντομη περιγραφή του παιχνιδιού</w:t>
      </w:r>
      <w:r>
        <w:rPr>
          <w:b/>
        </w:rPr>
        <w:t xml:space="preserve">: </w:t>
      </w:r>
      <w:r>
        <w:rPr>
          <w:rStyle w:val="1046"/>
          <w:b w:val="0"/>
          <w:lang w:val="en-US"/>
        </w:rPr>
        <w:t xml:space="preserve">Το Aguamod </w:t>
      </w:r>
      <w:r>
        <w:rPr>
          <w:lang w:val="en-US"/>
        </w:rPr>
        <w:t xml:space="preserve">είναι ένα σοβαρό παιχνίδι που αναπτύχθηκε στο πλαίσιο του </w:t>
      </w:r>
      <w:r>
        <w:rPr>
          <w:lang w:val="en-US"/>
        </w:rPr>
        <w:t xml:space="preserve">προγράμματος SUDOE Interreg, το οποίο χρηματοδοτείται από την ΕΕ και </w:t>
      </w:r>
      <w:r>
        <w:rPr>
          <w:lang w:val="en-US"/>
        </w:rPr>
        <w:t xml:space="preserve">εστιά</w:t>
      </w:r>
      <w:r>
        <w:rPr>
          <w:lang w:val="en-US"/>
        </w:rPr>
        <w:t xml:space="preserve">ζει στη διαχείριση των υδάτινων πόρων στη Νοτιοδυτική Ευρώπη. Στόχος του παιχνιδιού είναι να εκπαιδεύσει τους χρήστες σε βιώσιμες πρακτικές διαχείρισης των υδάτινων πόρων, προσομοιώνοντας διάφορα σενάρια που σχετίζονται με το νερό, ειδικά κατά τη διάρκεια </w:t>
      </w:r>
      <w:r>
        <w:rPr>
          <w:lang w:val="en-US"/>
        </w:rPr>
        <w:t xml:space="preserve">περιόδων</w:t>
      </w:r>
      <w:r>
        <w:rPr>
          <w:lang w:val="en-US"/>
        </w:rPr>
        <w:t xml:space="preserve"> χαμηλής στάθμης νερού ή ξηρασίας</w:t>
      </w:r>
      <w:r>
        <w:rPr>
          <w:lang w:val="en-US"/>
        </w:rPr>
        <w:t xml:space="preserve">. Μέσα από το παιχνίδι, οι παίκτες λαμβάνουν αποφάσεις που επηρεάζουν τη διανομή νερού για πόση, γεωργία και περιβαλλοντικές ανάγκες, συμβάλλοντας στην απεικόνιση της πολυπλοκότητας της διαχείρισης των κοινών υδάτινων πόρων σε διαφορετικά κλι</w:t>
      </w:r>
      <w:r/>
    </w:p>
    <w:p>
      <w:pPr>
        <w:pBdr/>
        <w:tabs>
          <w:tab w:val="left" w:leader="none" w:pos="2154"/>
        </w:tabs>
        <w:spacing/>
        <w:ind/>
        <w:rPr/>
      </w:pPr>
      <w:r>
        <w:rPr>
          <w:lang w:val="gl-ES" w:eastAsia="gl-ES"/>
        </w:rPr>
        <mc:AlternateContent>
          <mc:Choice Requires="wpg">
            <w:drawing>
              <wp:inline xmlns:wp="http://schemas.openxmlformats.org/drawingml/2006/wordprocessingDrawing" distT="0" distB="0" distL="0" distR="0">
                <wp:extent cx="5945926" cy="3263900"/>
                <wp:effectExtent l="0" t="0" r="0" b="0"/>
                <wp:docPr id="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7"/>
                        <a:stretch/>
                      </pic:blipFill>
                      <pic:spPr bwMode="auto">
                        <a:xfrm>
                          <a:off x="0" y="0"/>
                          <a:ext cx="5953925" cy="32682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18pt;height:257.00pt;mso-wrap-distance-left:0.00pt;mso-wrap-distance-top:0.00pt;mso-wrap-distance-right:0.00pt;mso-wrap-distance-bottom:0.00pt;z-index:1;" stroked="false">
                <v:imagedata r:id="rId17" o:title=""/>
                <o:lock v:ext="edit" rotation="t"/>
              </v:shape>
            </w:pict>
          </mc:Fallback>
        </mc:AlternateContent>
      </w: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rPr>
          <w:b/>
          <w:bCs/>
        </w:rPr>
        <w:t xml:space="preserve">Διάρκεια</w:t>
      </w:r>
      <w:r>
        <w:rPr>
          <w:b/>
          <w:bCs/>
        </w:rPr>
        <w:t xml:space="preserve">:</w:t>
      </w:r>
      <w:r>
        <w:t xml:space="preserve"> 4 μαθήματα</w:t>
      </w:r>
      <w:r/>
    </w:p>
    <w:p>
      <w:pPr>
        <w:pBdr/>
        <w:tabs>
          <w:tab w:val="left" w:leader="none" w:pos="2154"/>
        </w:tabs>
        <w:spacing/>
        <w:ind/>
        <w:rPr/>
      </w:pPr>
      <w:r>
        <w:rPr>
          <w:b/>
          <w:bCs/>
        </w:rPr>
        <w:t xml:space="preserve">Θέμα/θέματα: </w:t>
      </w:r>
      <w:r>
        <w:t xml:space="preserve">Περιβαλλοντικές επιστήμες, Πολιτική αγωγή</w:t>
      </w:r>
      <w:r/>
    </w:p>
    <w:p>
      <w:pPr>
        <w:pBdr/>
        <w:tabs>
          <w:tab w:val="left" w:leader="none" w:pos="2154"/>
        </w:tabs>
        <w:spacing/>
        <w:ind/>
        <w:rPr/>
      </w:pPr>
      <w:r>
        <w:t xml:space="preserve">, Οικονομία</w:t>
      </w:r>
      <w:r/>
    </w:p>
    <w:p>
      <w:pPr>
        <w:pBdr/>
        <w:tabs>
          <w:tab w:val="left" w:leader="none" w:pos="2154"/>
        </w:tabs>
        <w:spacing/>
        <w:ind/>
        <w:jc w:val="left"/>
        <w:rPr/>
      </w:pPr>
      <w:r>
        <w:rPr>
          <w:b/>
          <w:bCs/>
        </w:rPr>
        <w:t xml:space="preserve">Θέματα</w:t>
      </w:r>
      <w:r>
        <w:rPr>
          <w:b/>
          <w:bCs/>
        </w:rPr>
        <w:t xml:space="preserve">: </w:t>
      </w:r>
      <w:r>
        <w:t xml:space="preserve">Βιωσιμότητα, </w:t>
      </w:r>
      <w:r>
        <w:t xml:space="preserve">διαχείριση</w:t>
      </w:r>
      <w:r>
        <w:t xml:space="preserve"> πόρων</w:t>
      </w:r>
      <w:r>
        <w:t xml:space="preserve">, περιβαλλοντική διαχείριση και συνεργασία της κοινότητας</w:t>
      </w:r>
      <w:r>
        <w:t xml:space="preserve">.</w:t>
      </w:r>
      <w:r/>
    </w:p>
    <w:p>
      <w:pPr>
        <w:pBdr/>
        <w:tabs>
          <w:tab w:val="left" w:leader="none" w:pos="2154"/>
        </w:tabs>
        <w:spacing/>
        <w:ind/>
        <w:rPr/>
      </w:pPr>
      <w:r>
        <w:rPr>
          <w:b/>
          <w:bCs/>
        </w:rPr>
        <w:t xml:space="preserve">Στόχοι βιώσιμης ανάπτυξης:</w:t>
      </w:r>
      <w:r>
        <w:t xml:space="preserve"> 11, 12, 13</w:t>
      </w:r>
      <w:r/>
    </w:p>
    <w:p>
      <w:pPr>
        <w:pBdr/>
        <w:tabs>
          <w:tab w:val="left" w:leader="none" w:pos="2154"/>
        </w:tabs>
        <w:spacing/>
        <w:ind/>
        <w:rPr>
          <w:b/>
          <w:bCs/>
        </w:rPr>
      </w:pPr>
      <w:r>
        <w:rPr>
          <w:b/>
          <w:bCs/>
        </w:rPr>
      </w:r>
      <w:r>
        <w:rPr>
          <w:b/>
          <w:bCs/>
        </w:rPr>
      </w:r>
    </w:p>
    <w:p>
      <w:pPr>
        <w:pBdr/>
        <w:tabs>
          <w:tab w:val="left" w:leader="none" w:pos="2154"/>
        </w:tabs>
        <w:spacing/>
        <w:ind/>
        <w:rPr>
          <w:b/>
          <w:bCs/>
        </w:rPr>
      </w:pPr>
      <w:r>
        <w:rPr>
          <w:b/>
          <w:bCs/>
        </w:rPr>
      </w:r>
      <w:r>
        <w:rPr>
          <w:b/>
          <w:bCs/>
        </w:rPr>
      </w:r>
    </w:p>
    <w:p>
      <w:pPr>
        <w:pBdr/>
        <w:tabs>
          <w:tab w:val="left" w:leader="none" w:pos="2154"/>
        </w:tabs>
        <w:spacing/>
        <w:ind/>
        <w:rPr/>
      </w:pPr>
      <w:r>
        <w:rPr>
          <w:b/>
          <w:bCs/>
        </w:rPr>
        <w:t xml:space="preserve">Διαστάσεις της σύγκρουσης μέσω του παιχνιδιού</w:t>
      </w:r>
      <w:r>
        <w:rPr>
          <w:b/>
          <w:bCs/>
        </w:rPr>
        <w:t xml:space="preserve">:</w:t>
      </w:r>
      <w:r/>
    </w:p>
    <w:p>
      <w:pPr>
        <w:pBdr/>
        <w:tabs>
          <w:tab w:val="left" w:leader="none" w:pos="2154"/>
        </w:tabs>
        <w:spacing w:after="0"/>
        <w:ind/>
        <w:rPr>
          <w:sz w:val="20"/>
          <w:szCs w:val="18"/>
        </w:rPr>
      </w:pPr>
      <w:r/>
      <w:sdt>
        <w:sdtPr>
          <w15:appearance w15:val="boundingBox"/>
          <w:id w:val="-142741181"/>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 </w:t>
          </w:r>
        </w:sdtContent>
      </w:sdt>
      <w:r>
        <w:rPr>
          <w:sz w:val="20"/>
          <w:szCs w:val="18"/>
        </w:rPr>
        <w:t xml:space="preserve">κοινωνικός </w:t>
      </w:r>
      <w:r>
        <w:rPr>
          <w:sz w:val="20"/>
          <w:szCs w:val="18"/>
        </w:rPr>
        <w:t xml:space="preserve">αντίκτυπος</w:t>
      </w:r>
      <w:r>
        <w:rPr>
          <w:sz w:val="20"/>
          <w:szCs w:val="18"/>
        </w:rPr>
      </w:r>
    </w:p>
    <w:p>
      <w:pPr>
        <w:pBdr/>
        <w:tabs>
          <w:tab w:val="left" w:leader="none" w:pos="2154"/>
        </w:tabs>
        <w:spacing w:after="0"/>
        <w:ind/>
        <w:rPr>
          <w:sz w:val="20"/>
          <w:szCs w:val="18"/>
        </w:rPr>
      </w:pPr>
      <w:r/>
      <w:sdt>
        <w:sdtPr>
          <w15:appearance w15:val="boundingBox"/>
          <w:id w:val="-1363270522"/>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 </w:t>
          </w:r>
        </w:sdtContent>
      </w:sdt>
      <w:r>
        <w:rPr>
          <w:sz w:val="20"/>
          <w:szCs w:val="18"/>
        </w:rPr>
        <w:t xml:space="preserve">περιβαλλοντικός </w:t>
      </w:r>
      <w:r>
        <w:rPr>
          <w:sz w:val="20"/>
          <w:szCs w:val="18"/>
        </w:rPr>
        <w:t xml:space="preserve">αντίκτυπος</w:t>
      </w:r>
      <w:r>
        <w:rPr>
          <w:sz w:val="20"/>
          <w:szCs w:val="18"/>
        </w:rPr>
      </w:r>
    </w:p>
    <w:p>
      <w:pPr>
        <w:pBdr/>
        <w:tabs>
          <w:tab w:val="left" w:leader="none" w:pos="2154"/>
        </w:tabs>
        <w:spacing w:after="0"/>
        <w:ind/>
        <w:rPr>
          <w:sz w:val="20"/>
          <w:szCs w:val="18"/>
        </w:rPr>
      </w:pPr>
      <w:r/>
      <w:sdt>
        <w:sdtPr>
          <w15:appearance w15:val="boundingBox"/>
          <w:id w:val="1870490229"/>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 </w:t>
          </w:r>
        </w:sdtContent>
      </w:sdt>
      <w:r>
        <w:rPr>
          <w:sz w:val="20"/>
          <w:szCs w:val="18"/>
        </w:rPr>
        <w:t xml:space="preserve">οικονομικός αντίκτυπος</w:t>
      </w:r>
      <w:r>
        <w:rPr>
          <w:sz w:val="20"/>
          <w:szCs w:val="18"/>
        </w:rPr>
      </w:r>
    </w:p>
    <w:p>
      <w:pPr>
        <w:pBdr/>
        <w:tabs>
          <w:tab w:val="left" w:leader="none" w:pos="2154"/>
        </w:tabs>
        <w:spacing w:after="120"/>
        <w:ind/>
        <w:rPr>
          <w:sz w:val="20"/>
          <w:szCs w:val="18"/>
        </w:rPr>
      </w:pPr>
      <w:r/>
      <w:sdt>
        <w:sdtPr>
          <w15:appearance w15:val="boundingBox"/>
          <w:id w:val="2048100801"/>
          <w14:checkbox>
            <w14:checked w14:val="0"/>
            <w14:checkedState w14:val="2612" w14:font="MS Gothic"/>
            <w14:uncheckedState w14:val="2610" w14:font="MS Gothic"/>
          </w14:checkbox>
          <w:rPr>
            <w:sz w:val="20"/>
            <w:szCs w:val="18"/>
          </w:rPr>
        </w:sdtPr>
        <w:sdtContent>
          <w:r>
            <w:rPr>
              <w:rFonts w:ascii="MS Gothic" w:hAnsi="MS Gothic" w:eastAsia="MS Gothic"/>
              <w:sz w:val="20"/>
              <w:szCs w:val="18"/>
            </w:rPr>
            <w:t xml:space="preserve">☐ </w:t>
          </w:r>
        </w:sdtContent>
      </w:sdt>
      <w:r>
        <w:rPr>
          <w:sz w:val="20"/>
          <w:szCs w:val="18"/>
        </w:rPr>
        <w:t xml:space="preserve">τεχνολογικός αντίκτυπος</w:t>
      </w:r>
      <w:r>
        <w:rPr>
          <w:sz w:val="20"/>
          <w:szCs w:val="18"/>
        </w:rPr>
      </w:r>
    </w:p>
    <w:p>
      <w:pPr>
        <w:pBdr/>
        <w:tabs>
          <w:tab w:val="left" w:leader="none" w:pos="2154"/>
        </w:tabs>
        <w:spacing/>
        <w:ind/>
        <w:rPr/>
      </w:pPr>
      <w:r>
        <w:rPr>
          <w:b/>
          <w:bCs/>
        </w:rPr>
        <w:t xml:space="preserve">Μαθησιακοί στόχοι</w:t>
      </w:r>
      <w:r>
        <w:rPr>
          <w:b/>
          <w:bCs/>
        </w:rPr>
        <w:t xml:space="preserve">: </w:t>
      </w:r>
      <w:r>
        <w:t xml:space="preserve">Η παιδαγωγική ακολουθία του Aguamod αποσκοπεί στην προώθηση της κατανόησης της αλληλεξάρτησης και της οικολογικής εξάρτησης των ανθρώπινων </w:t>
      </w:r>
      <w:r>
        <w:t xml:space="preserve">δραστηριοτήτων, μέσω της αναγνώρισης και ανάλυσης σχετικών οικοκοινωνικών προβλημάτων, με στόχο την προώθηση συνηθειών και στάσεων που είναι ηθικά δεσμευμένες στην επίτευξη βιώσιμων τρόπ</w:t>
      </w:r>
      <w:r>
        <w:t xml:space="preserve">ων ζωής. Μέσω περιβαλλοντικών πρ</w:t>
      </w:r>
      <w:r>
        <w:t xml:space="preserve">οκλήσεων και διαδραστικού παιχνιδιού βασισμένου σε σενάρια, προωθεί την κατανόηση και την ενσυναίσθηση απέναντι σε πραγματικά ζητήματα διαχείρισης των υδάτινων πόρων. Η συνεργατική μάθηση ενισχύεται μέσω της συζήτησης για τη βιωσιμότητα, την οικονομία και </w:t>
      </w:r>
      <w:r>
        <w:t xml:space="preserve">τη</w:t>
      </w:r>
      <w:r>
        <w:t xml:space="preserve"> δημόσια </w:t>
      </w:r>
      <w:r>
        <w:t xml:space="preserve">πολιτική. Οι παίκτες αναπτύσσουν στρατηγική σκέψη, </w:t>
      </w:r>
      <w:r>
        <w:t xml:space="preserve">δεξιότητες λήψης αποφάσεων και ευαισθητοποίηση σχετικά με τις προκλήσεις των υδάτινων πόρων και τις επιπτώσεις του κλίματος. Ο κύριος στόχος είναι να προωθηθεί η κατανόηση της βιώσιμης διαχείρισης των υδάτων, της κατανομής των πόρων και του περιβαλλοντικού</w:t>
      </w:r>
      <w:r/>
    </w:p>
    <w:p>
      <w:pPr>
        <w:pBdr/>
        <w:spacing/>
        <w:ind/>
        <w:rPr/>
      </w:pPr>
      <w:r>
        <w:rPr>
          <w:b/>
          <w:bCs/>
        </w:rPr>
        <w:t xml:space="preserve">Διαπροσωπικές δεξιότητες</w:t>
      </w:r>
      <w:r>
        <w:rPr>
          <w:b/>
          <w:bCs/>
        </w:rPr>
        <w:t xml:space="preserve">: </w:t>
      </w:r>
      <w:r>
        <w:rPr>
          <w:rFonts w:eastAsia="Corbel"/>
          <w:lang w:val="en-US"/>
        </w:rPr>
        <w:t xml:space="preserve">Κριτική σκέψη</w:t>
      </w:r>
      <w:r>
        <w:t xml:space="preserve">, </w:t>
      </w:r>
      <w:r>
        <w:rPr>
          <w:rFonts w:eastAsia="Corbel"/>
          <w:lang w:val="en-US"/>
        </w:rPr>
        <w:t xml:space="preserve">δημιουργικότητα</w:t>
      </w:r>
      <w:r>
        <w:t xml:space="preserve">, </w:t>
      </w:r>
      <w:r>
        <w:rPr>
          <w:rFonts w:eastAsia="Corbel"/>
          <w:lang w:val="en-US"/>
        </w:rPr>
        <w:t xml:space="preserve">πληροφοριακή παιδεία</w:t>
      </w:r>
      <w:r>
        <w:rPr>
          <w:rFonts w:eastAsia="Corbel"/>
          <w:lang w:val="en-US"/>
        </w:rPr>
        <w:t xml:space="preserve">, τεχνολογική παιδεία, πρωτοβουλία</w:t>
      </w:r>
      <w:r>
        <w:t xml:space="preserve">.</w:t>
      </w:r>
      <w:r/>
    </w:p>
    <w:p>
      <w:pPr>
        <w:pBdr/>
        <w:tabs>
          <w:tab w:val="left" w:leader="none" w:pos="2154"/>
        </w:tabs>
        <w:spacing/>
        <w:ind/>
        <w:rPr/>
      </w:pPr>
      <w:r>
        <w:rPr>
          <w:b/>
          <w:bCs/>
        </w:rPr>
        <w:t xml:space="preserve">Τεχνικές απαιτήσεις και απαιτούμενο υλικό</w:t>
      </w:r>
      <w:r>
        <w:rPr>
          <w:b/>
          <w:bCs/>
        </w:rPr>
        <w:t xml:space="preserve">: </w:t>
      </w:r>
      <w:r>
        <w:t xml:space="preserve">Υπολογιστής, </w:t>
      </w:r>
      <w:r>
        <w:t xml:space="preserve">ποντίκι για κάθε μαθητή, Wi-Fi, </w:t>
      </w:r>
      <w:r>
        <w:t xml:space="preserve">βιντεοπαιχνίδι που έχει κατεβαστεί</w:t>
      </w:r>
      <w:r/>
    </w:p>
    <w:p>
      <w:pPr>
        <w:pBdr/>
        <w:tabs>
          <w:tab w:val="left" w:leader="none" w:pos="2154"/>
        </w:tabs>
        <w:spacing/>
        <w:ind/>
        <w:rPr/>
      </w:pPr>
      <w:r>
        <w:rPr>
          <w:b/>
          <w:bCs/>
        </w:rPr>
        <w:t xml:space="preserve">Π</w:t>
      </w:r>
      <w:r>
        <w:rPr>
          <w:b/>
          <w:bCs/>
        </w:rPr>
        <w:t xml:space="preserve">ερ</w:t>
      </w:r>
      <w:r>
        <w:rPr>
          <w:b/>
          <w:bCs/>
        </w:rPr>
        <w:t xml:space="preserve">αιτέρω βιβλιογραφία/υλικό</w:t>
      </w:r>
      <w:r>
        <w:t xml:space="preserve">: </w:t>
      </w:r>
      <w:r/>
    </w:p>
    <w:p>
      <w:pPr>
        <w:pBdr/>
        <w:tabs>
          <w:tab w:val="left" w:leader="none" w:pos="2154"/>
        </w:tabs>
        <w:spacing/>
        <w:ind/>
        <w:rPr/>
      </w:pPr>
      <w:r>
        <w:t xml:space="preserve">INTERREG SUDOE AGUAMOD: </w:t>
      </w:r>
      <w:r>
        <w:t xml:space="preserve">http://www.aguamod-sudoe.eu/videojuego/</w:t>
      </w:r>
      <w:r/>
    </w:p>
    <w:p>
      <w:pPr>
        <w:pBdr/>
        <w:tabs>
          <w:tab w:val="left" w:leader="none" w:pos="2154"/>
        </w:tabs>
        <w:spacing/>
        <w:ind/>
        <w:rPr>
          <w:rFonts w:eastAsiaTheme="minorEastAsia"/>
          <w:color w:val="0260bf"/>
          <w:lang w:val="en-US"/>
        </w:rPr>
      </w:pPr>
      <w:r>
        <w:t xml:space="preserve">Οδηγός διδασκαλίας: </w:t>
      </w:r>
      <w:r>
        <w:rPr>
          <w:rFonts w:eastAsiaTheme="minorEastAsia"/>
          <w:color w:val="0260bf"/>
          <w:lang w:val="en-US"/>
        </w:rPr>
        <w:t xml:space="preserve">http://www.aguamod- sudoe.eu/handbook/content/pdf/principal/ficha_juegointeractiv o_en.pdf</w:t>
      </w:r>
      <w:r>
        <w:rPr>
          <w:rFonts w:eastAsiaTheme="minorEastAsia"/>
          <w:color w:val="0260bf"/>
          <w:lang w:val="en-US"/>
        </w:rPr>
      </w:r>
    </w:p>
    <w:p>
      <w:pPr>
        <w:pBdr/>
        <w:tabs>
          <w:tab w:val="left" w:leader="none" w:pos="2154"/>
        </w:tabs>
        <w:spacing/>
        <w:ind/>
        <w:rPr/>
      </w:pPr>
      <w:r>
        <w:t xml:space="preserve">Εισαγωγικό βίντεο: </w:t>
      </w:r>
      <w:hyperlink r:id="rId18" w:tooltip="https://www.youtube.com/watch?v=ACP3Sd-yChY&amp;t=27s" w:history="1">
        <w:r>
          <w:rPr>
            <w:rStyle w:val="1007"/>
          </w:rPr>
          <w:t xml:space="preserve">https://www.youtube.com/watch?v=ACP3Sd-yChY&amp;amp;t=27s</w:t>
        </w:r>
      </w:hyperlink>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hyperlink r:id="rId19" w:tooltip="http://www.aguamod-sudoe.eu/handbook/content/pdf/seriousgame/index.html" w:history="1">
        <w:r>
          <w:rPr>
            <w:rStyle w:val="1007"/>
          </w:rPr>
          <w:t xml:space="preserve">http://www.aguamod-sudoe.eu/handbook/content/pdf/seriousgame/index.html</w:t>
        </w:r>
      </w:hyperlink>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b/>
          <w:bCs/>
          <w:sz w:val="28"/>
          <w:szCs w:val="24"/>
        </w:rPr>
      </w:pPr>
      <w:r>
        <w:rPr>
          <w:b/>
          <w:bCs/>
          <w:sz w:val="28"/>
          <w:szCs w:val="24"/>
        </w:rPr>
        <w:br w:type="page" w:clear="all"/>
      </w:r>
      <w:r>
        <w:rPr>
          <w:b/>
          <w:bCs/>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Φάση προετοιμασίας</w:t>
      </w:r>
      <w:r>
        <w:rPr>
          <w:b/>
          <w:bCs/>
          <w:color w:val="01c172" w:themeColor="accent4" w:themeShade="BF"/>
          <w:sz w:val="28"/>
          <w:szCs w:val="24"/>
        </w:rPr>
      </w:r>
    </w:p>
    <w:p>
      <w:pPr>
        <w:pBdr/>
        <w:tabs>
          <w:tab w:val="left" w:leader="none" w:pos="2154"/>
        </w:tabs>
        <w:spacing/>
        <w:ind/>
        <w:rPr/>
      </w:pPr>
      <w:r>
        <w:t xml:space="preserve">Ο προσεκτικός σχεδιασμός είναι απαραίτητος για την εισαγωγή και την προετοιμασία του μαθησιακού περιβάλλοντος για τη χρήση </w:t>
      </w:r>
      <w:r>
        <w:t xml:space="preserve">του Aguamod στην τάξη. Το πρώτο βήμα είναι να διασφαλιστεί ότι </w:t>
      </w:r>
      <w:r>
        <w:t xml:space="preserve">όλοι οι μαθητές έχουν πρόσβαση σε μια κατάλληλη συσκευή, όπως υπολογιστή, tablet ή smartphone. Το παιχνίδι πρέπει να είναι εγκατεστημένο και να λειτουργεί ομαλά. Μια σταθερή σύνδεση στο διαδίκτυο είναι σημαντική για την αδιάκοπη λειτουργία του παιχνιδιού, </w:t>
      </w:r>
      <w:r>
        <w:t xml:space="preserve">καθώς το παιχνίδι βασίζεται σε ανατροφοδότηση και ενημερώσ</w:t>
      </w:r>
      <w:r>
        <w:t xml:space="preserve">εις σε πραγματικό χρόνο με βάση τις αποφάσεις των παικτών. Εάν είναι δυνατό, η παροχή ακουστικών στους μαθητές μπορεί να ενισχύσει σημαντικά την εμβάπτισή τους στον ήχο του παιχνιδιού, επιτρέποντάς τους να εμπλακούν πιο βαθιά χωρίς να ενοχλούν τους άλλους.</w:t>
      </w:r>
      <w:r/>
    </w:p>
    <w:p>
      <w:pPr>
        <w:pBdr/>
        <w:tabs>
          <w:tab w:val="left" w:leader="none" w:pos="2154"/>
        </w:tabs>
        <w:spacing/>
        <w:ind/>
        <w:rPr/>
      </w:pPr>
      <w:r>
        <w:t xml:space="preserve">Πριν παρουσιάσει το Aguamod στην τάξη, είναι σημαντικό ο εκπαιδευτικός να </w:t>
      </w:r>
      <w:r>
        <w:t xml:space="preserve">παίξει το παιχνίδι ανεξάρτητα. Αυτή η πρακτική εμπειρία επι</w:t>
      </w:r>
      <w:r>
        <w:t xml:space="preserve">τρέπει στον εκπαιδευτικό να κατανοήσει τους μηχανισμούς, τη δομή του παιχνιδιού και τα εκπαιδευτικά θέματα του παιχνιδιού, έτσι ώστε να μπορεί να προβλέψει τυχόν δυσκολίες που ενδέχεται να αντιμετωπίσουν οι μαθητές και να παρέχει αποτελεσματική καθοδήγηση </w:t>
      </w:r>
      <w:r>
        <w:t xml:space="preserve">κατά τη διάρκεια της συνεδρίας</w:t>
      </w:r>
      <w:r>
        <w:t xml:space="preserve">. Κατά την παρουσίαση του παιχνιδιού, ο εκπαιδευτικός πρέπει να παρέχει ένα ελκυστικό πλαίσιο που να αναδεικνύει τις περιβαλλοντικές προκλήσεις που διερευνώνται στο Aguamod, όπως η διαχείριση του κλίματος και των πόρων υπό την πίεση της κλιματικής αλλαγής.</w:t>
      </w:r>
      <w:r>
        <w:t xml:space="preserve"> Ωστόσο, προκειμένου να διατηρηθεί το στοιχείο της ανακάλυψης για τους μαθητές, πρέπει να ληφθεί μέριμνα ώστε να μην αποκαλυφθούν συγκεκριμένες λεπτομέρειες του παιχνιδιού.</w:t>
      </w:r>
      <w:r/>
    </w:p>
    <w:p>
      <w:pPr>
        <w:pBdr/>
        <w:tabs>
          <w:tab w:val="left" w:leader="none" w:pos="2154"/>
        </w:tabs>
        <w:spacing/>
        <w:ind/>
        <w:rPr/>
      </w:pPr>
      <w:r>
        <w:t xml:space="preserve">Το ίδιο το παιχνίδι ενθαρρύνει τους μαθητές να λαμβάνουν αποφάσεις που ισορροπούν περιβαλλοντικές, κοινωνικές και οικονομικές παραμέτρους και να αναστοχάζονται τις αξίες τους και τις ευρύτερες συνέπειες των επιλογών τους. Ο εκπαιδευτικός </w:t>
      </w:r>
      <w:r>
        <w:t xml:space="preserve">πρέπει να είναι προετοιμασμένος να διευκολύνει συζητήσει</w:t>
      </w:r>
      <w:r>
        <w:t xml:space="preserve">ς σχετικά με τη βιωσιμότητα, την πολυπλοκότητα της κλιματικής αλλαγής και τον αντίκτυπο των πολιτικών αποφάσεων τόσο σε τοπικό όσο και σε παγκόσμιο επίπεδο. Εξίσου σημαντικό είναι να δημιουργηθεί ένα υποστηρικτικό περιβάλλον όπου οι μαθητές θα αισθάνονται </w:t>
      </w:r>
      <w:r>
        <w:t xml:space="preserve">άνετα να εκφράσουν </w:t>
      </w:r>
      <w:r>
        <w:t xml:space="preserve">τυχόν απογοητεύσεις ή ηθικά διλήμματα που μπορεί να προκύψουν καθώς αντιμετωπίζουν τις προκλήσεις που παρουσιάζει το παιχνίδι. Η παροχή στους μαθητές εισαγωγικού υλικού σχετικά με περιβαλλοντικά, κοινωνικά και οικονομικά ζητήματα, την κλιματική αλλαγή και </w:t>
      </w:r>
      <w:r>
        <w:t xml:space="preserve">τις</w:t>
      </w:r>
      <w:r>
        <w:t xml:space="preserve"> βιώσιμες </w:t>
      </w:r>
      <w:r>
        <w:t xml:space="preserve">πρακτικές μπορεί να τους βοηθήσει </w:t>
      </w:r>
      <w:r>
        <w:t xml:space="preserve">να ασχοληθούν πιο βαθιά με τα θέματα του Aguamod. Όσοι έχουν ιδιαίτερο ενδιαφέρον ή υπόβαθρο στις περιβαλλοντικές επιστήμες, ο εκπαιδευτικός μπορεί να τους ενθαρρύνει να μοιραστούν τις γνώσεις τους, εμπλουτίζοντας την μαθησιακή εμπειρία για όλη την τάξη.  </w:t>
      </w:r>
      <w:r/>
    </w:p>
    <w:p>
      <w:pPr>
        <w:pBdr/>
        <w:tabs>
          <w:tab w:val="left" w:leader="none" w:pos="2154"/>
        </w:tabs>
        <w:spacing/>
        <w:ind/>
        <w:rPr/>
      </w:pPr>
      <w:r>
        <w:t xml:space="preserve">Στόχος του παιχνιδιού είναι </w:t>
      </w:r>
      <w:r>
        <w:t xml:space="preserve">η αποκατάσταση και η ε</w:t>
      </w:r>
      <w:r>
        <w:t xml:space="preserve">πίτευξη μιας βιώσιμης ισορροπίας μεταξύ περιβάλλοντος, κοινωνίας και οικονομίας μέσω των ενεργειών και των επιλογών του παίκτη. Πρέπει να διασφαλίσουμε τη διατήρηση της ποιότητας και της ποσότητας των υδάτινων πόρων για μια βιώσιμη κοινωνία μακροπρόθεσμα. </w:t>
      </w:r>
      <w:r>
        <w:t xml:space="preserve">Για να επιτευχθεί αυτό, ο χρήστης έχει στη διάθεσή του διάφορα τυπικά στοιχεία που μπορούν να προστεθούν ή να αφαιρεθούν από το σενάριο για να ξεπεραστούν οι προκλήσεις (Διδακτικός οδηγός Aguamod, χωρίς ημερομηνία). </w:t>
      </w:r>
      <w:r>
        <w:t xml:space="preserve">Με την προσεκτική προετοιμασία τόσο τ</w:t>
      </w:r>
      <w:r>
        <w:t xml:space="preserve">ων τεχνικών όσο και των συναισθηματικών πτυχών του μαθησιακού περιβάλλοντος, ο εκπαιδευτικός μπορεί να διασφαλίσει ότι το Aguamod θα αποτελέσει ένα ισχυρό εκπαιδευτικό εργαλείο για την εξερεύνηση κρίσιμων ζητημάτων βιωσιμότητας και περιβαλλοντικής ευθύνης.</w:t>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Φάση παιχνιδιού</w:t>
      </w:r>
      <w:r>
        <w:rPr>
          <w:b/>
          <w:bCs/>
          <w:color w:val="01c172" w:themeColor="accent4" w:themeShade="BF"/>
          <w:sz w:val="28"/>
          <w:szCs w:val="24"/>
        </w:rPr>
      </w:r>
    </w:p>
    <w:tbl>
      <w:tblPr>
        <w:tblStyle w:val="1023"/>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66"/>
        <w:gridCol w:w="906"/>
        <w:gridCol w:w="1620"/>
      </w:tblGrid>
      <w:tr>
        <w:trPr>
          <w:jc w:val="center"/>
        </w:trPr>
        <w:tc>
          <w:tcPr>
            <w:shd w:val="clear" w:color="auto" w:fill="9bfed6" w:themeFill="accent4" w:themeFillTint="66"/>
            <w:tcBorders/>
            <w:tcW w:w="279"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Μάθημα </w:t>
            </w:r>
            <w:r>
              <w:rPr>
                <w:b/>
                <w:bCs/>
                <w:sz w:val="18"/>
                <w:szCs w:val="18"/>
              </w:rPr>
              <w:t xml:space="preserve">αριθ.</w:t>
            </w:r>
            <w:r>
              <w:rPr>
                <w:b/>
                <w:bCs/>
                <w:sz w:val="18"/>
                <w:szCs w:val="18"/>
              </w:rPr>
            </w:r>
          </w:p>
        </w:tc>
        <w:tc>
          <w:tcPr>
            <w:shd w:val="clear" w:color="auto" w:fill="9bfed6" w:themeFill="accent4" w:themeFillTint="66"/>
            <w:tcBorders/>
            <w:tcW w:w="6515"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p>
        </w:tc>
        <w:tc>
          <w:tcPr>
            <w:shd w:val="clear" w:color="auto" w:fill="9bfed6" w:themeFill="accent4" w:themeFillTint="66"/>
            <w:tcBorders/>
            <w:tcW w:w="936" w:type="dxa"/>
            <w:vAlign w:val="center"/>
            <w:textDirection w:val="lrTb"/>
            <w:noWrap w:val="false"/>
          </w:tcPr>
          <w:p>
            <w:pPr>
              <w:pBdr/>
              <w:tabs>
                <w:tab w:val="left" w:leader="none" w:pos="2154"/>
              </w:tabs>
              <w:spacing/>
              <w:ind/>
              <w:jc w:val="center"/>
              <w:rPr>
                <w:b/>
                <w:bCs/>
                <w:sz w:val="18"/>
                <w:szCs w:val="18"/>
              </w:rPr>
            </w:pPr>
            <w:r>
              <w:rPr>
                <w:b/>
                <w:bCs/>
                <w:sz w:val="18"/>
                <w:szCs w:val="18"/>
              </w:rPr>
              <w:t xml:space="preserve">Κοινωνική μορφή</w:t>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Υλικές/τεχνικές απαιτήσεις</w:t>
            </w:r>
            <w:r>
              <w:rPr>
                <w:b/>
                <w:bCs/>
                <w:sz w:val="18"/>
                <w:szCs w:val="18"/>
              </w:rPr>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1: Εισαγωγή στο παιχνίδι και στο θέμα</w:t>
            </w:r>
            <w:r>
              <w:rPr>
                <w:b/>
                <w:sz w:val="22"/>
                <w:szCs w:val="20"/>
              </w:rPr>
            </w:r>
          </w:p>
          <w:p>
            <w:pPr>
              <w:pBdr/>
              <w:tabs>
                <w:tab w:val="left" w:leader="none" w:pos="2154"/>
              </w:tabs>
              <w:spacing/>
              <w:ind/>
              <w:rPr>
                <w:sz w:val="22"/>
                <w:szCs w:val="20"/>
              </w:rPr>
            </w:pPr>
            <w:r>
              <w:rPr>
                <w:sz w:val="22"/>
                <w:szCs w:val="20"/>
              </w:rPr>
              <w:t xml:space="preserve">Θα ήταν καλό αν ο εκπαιδευτικός μπορούσε να παρέχει σχετικές περιβαλλοντικές πληροφορίες για να δικαιολογήσει τη δραστηριότητα. Ο στόχος είναι να δημιουργηθεί συνοχή και να χρησιμεύσει ως εισαγωγή στην επακόλουθη κατανόηση του παιχνιδιού. </w:t>
            </w:r>
            <w:r>
              <w:rPr>
                <w:sz w:val="22"/>
                <w:szCs w:val="20"/>
              </w:rPr>
            </w:r>
          </w:p>
          <w:p>
            <w:pPr>
              <w:pBdr/>
              <w:tabs>
                <w:tab w:val="left" w:leader="none" w:pos="2154"/>
              </w:tabs>
              <w:spacing/>
              <w:ind/>
              <w:rPr>
                <w:sz w:val="22"/>
                <w:szCs w:val="20"/>
              </w:rPr>
            </w:pPr>
            <w:r>
              <w:rPr>
                <w:sz w:val="22"/>
                <w:szCs w:val="20"/>
              </w:rPr>
              <w:t xml:space="preserve">Ο εκπαιδευτικός θα πρέπει να εξηγήσει ότι το παιχνίδι έχει σχεδιαστεί για να προσομοιώνει τις συνέπειες των αποφάσεων σχετικά με τη διανομή πόσιμου νερού, </w:t>
            </w:r>
            <w:r>
              <w:rPr>
                <w:sz w:val="22"/>
                <w:szCs w:val="20"/>
              </w:rPr>
              <w:t xml:space="preserve">τη γεωργία και τις περιβαλλοντικές ανάγκες</w:t>
            </w:r>
            <w:r>
              <w:rPr>
                <w:sz w:val="22"/>
                <w:szCs w:val="20"/>
              </w:rPr>
              <w:t xml:space="preserve">. Ο στόχος είναι</w:t>
            </w:r>
            <w:r>
              <w:rPr>
                <w:sz w:val="22"/>
                <w:szCs w:val="20"/>
              </w:rPr>
              <w:t xml:space="preserve"> να επιτευχθεί ισορροπία μεταξύ οικονομικής ανάπτυξης, κοινωνικής σταθερότητας και περιβαλλοντικής βιωσιμότητας στην περιοχή SUDOE. Για το σκοπό αυτό, θα είναι απαραίτητη η χρήση του εισαγωγικού βίντεο: https://www.youtube.com/watch?v=ACP3Sd-yChY&amp;amp;t=27s</w:t>
            </w:r>
            <w:r>
              <w:rPr>
                <w:sz w:val="22"/>
                <w:szCs w:val="20"/>
              </w:rPr>
              <w:t xml:space="preserve">. </w:t>
            </w:r>
            <w:r>
              <w:rPr>
                <w:sz w:val="22"/>
                <w:szCs w:val="20"/>
              </w:rPr>
            </w:r>
          </w:p>
          <w:p>
            <w:pPr>
              <w:pBdr/>
              <w:tabs>
                <w:tab w:val="left" w:leader="none" w:pos="2154"/>
              </w:tabs>
              <w:spacing/>
              <w:ind/>
              <w:rPr>
                <w:sz w:val="22"/>
                <w:szCs w:val="20"/>
              </w:rPr>
            </w:pPr>
            <w:r>
              <w:rPr>
                <w:sz w:val="22"/>
                <w:szCs w:val="20"/>
              </w:rPr>
            </w:r>
            <w:r>
              <w:rPr>
                <w:sz w:val="22"/>
                <w:szCs w:val="20"/>
              </w:rPr>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Ολομέλεια </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Φορητός υπολογιστής και προβολέας</w:t>
            </w:r>
            <w:r>
              <w:rPr>
                <w:sz w:val="18"/>
                <w:szCs w:val="18"/>
              </w:rPr>
            </w:r>
          </w:p>
          <w:p>
            <w:pPr>
              <w:pBdr/>
              <w:tabs>
                <w:tab w:val="left" w:leader="none" w:pos="2154"/>
              </w:tabs>
              <w:spacing/>
              <w:ind/>
              <w:jc w:val="left"/>
              <w:rPr>
                <w:sz w:val="18"/>
                <w:szCs w:val="18"/>
              </w:rPr>
            </w:pPr>
            <w:r>
              <w:rPr>
                <w:sz w:val="18"/>
                <w:szCs w:val="18"/>
              </w:rPr>
              <w:t xml:space="preserve">για την επίδειξη</w:t>
            </w:r>
            <w:r>
              <w:rPr>
                <w:sz w:val="18"/>
                <w:szCs w:val="18"/>
              </w:rPr>
            </w:r>
          </w:p>
          <w:p>
            <w:pPr>
              <w:pBdr/>
              <w:tabs>
                <w:tab w:val="left" w:leader="none" w:pos="2154"/>
              </w:tabs>
              <w:spacing/>
              <w:ind/>
              <w:jc w:val="left"/>
              <w:rPr>
                <w:sz w:val="18"/>
                <w:szCs w:val="18"/>
              </w:rPr>
            </w:pPr>
            <w:r>
              <w:rPr>
                <w:sz w:val="18"/>
                <w:szCs w:val="18"/>
              </w:rPr>
              <w:t xml:space="preserve">της συνολικής εικόνας του παιχνιδιού</w:t>
            </w:r>
            <w:r>
              <w:rPr>
                <w:sz w:val="18"/>
                <w:szCs w:val="18"/>
              </w:rPr>
              <w:t xml:space="preserve">, σύνδεσμος προς το βίντεο </w:t>
            </w:r>
            <w:r>
              <w:rPr>
                <w:sz w:val="18"/>
                <w:szCs w:val="18"/>
              </w:rPr>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2: </w:t>
            </w:r>
            <w:r>
              <w:rPr>
                <w:b/>
                <w:sz w:val="22"/>
                <w:szCs w:val="20"/>
              </w:rPr>
              <w:t xml:space="preserve">Εξάσκηση </w:t>
            </w:r>
            <w:r>
              <w:rPr>
                <w:b/>
                <w:sz w:val="22"/>
                <w:szCs w:val="20"/>
              </w:rPr>
              <w:t xml:space="preserve">των μηχανισμών του παιχνιδιού</w:t>
            </w:r>
            <w:r>
              <w:rPr>
                <w:b/>
                <w:sz w:val="22"/>
                <w:szCs w:val="20"/>
              </w:rPr>
            </w:r>
          </w:p>
          <w:p>
            <w:pPr>
              <w:pBdr/>
              <w:tabs>
                <w:tab w:val="left" w:leader="none" w:pos="2154"/>
              </w:tabs>
              <w:spacing/>
              <w:ind/>
              <w:rPr>
                <w:sz w:val="22"/>
                <w:szCs w:val="20"/>
              </w:rPr>
            </w:pPr>
            <w:r>
              <w:rPr>
                <w:sz w:val="22"/>
                <w:szCs w:val="20"/>
              </w:rPr>
              <w:t xml:space="preserve">Στη συνέχεια, μπορεί να είναι καλή </w:t>
            </w:r>
            <w:r>
              <w:rPr>
                <w:sz w:val="22"/>
                <w:szCs w:val="20"/>
              </w:rPr>
              <w:t xml:space="preserve">ιδέα να γίνει </w:t>
            </w:r>
            <w:r>
              <w:rPr>
                <w:sz w:val="22"/>
                <w:szCs w:val="20"/>
              </w:rPr>
              <w:t xml:space="preserve">μια συζήτηση </w:t>
            </w:r>
            <w:r>
              <w:rPr>
                <w:sz w:val="22"/>
                <w:szCs w:val="20"/>
              </w:rPr>
              <w:t xml:space="preserve">για να αναστοχαστούν οι συμμετέχοντες σχετικά με το θέμα που θα </w:t>
            </w:r>
            <w:r>
              <w:rPr>
                <w:sz w:val="22"/>
                <w:szCs w:val="20"/>
              </w:rPr>
              <w:t xml:space="preserve">συζητηθεί και τις πιθανές εναλλακτικές λύσεις. Συνιστάται να αναζητήσετε υλικό ή, στην περίπτωση μαθητών που συνήθως δεν συμμετέχουν, να </w:t>
            </w:r>
            <w:r>
              <w:rPr>
                <w:sz w:val="22"/>
                <w:szCs w:val="20"/>
              </w:rPr>
              <w:t xml:space="preserve">παρέχετε διαφορετικούς πόρους, όπως: </w:t>
            </w:r>
            <w:hyperlink r:id="rId20" w:tooltip="https://ed.ted.com/lessons/can-the-economy-grow-forever" w:history="1">
              <w:r>
                <w:rPr>
                  <w:rStyle w:val="1007"/>
                  <w:sz w:val="22"/>
                  <w:szCs w:val="20"/>
                </w:rPr>
                <w:t xml:space="preserve">https://ed.ted.com/lessons/can-the-economy-grow-forever</w:t>
              </w:r>
            </w:hyperlink>
            <w:r>
              <w:rPr>
                <w:sz w:val="22"/>
                <w:szCs w:val="20"/>
              </w:rPr>
              <w:t xml:space="preserve">.</w:t>
            </w:r>
            <w:r>
              <w:rPr>
                <w:sz w:val="22"/>
                <w:szCs w:val="20"/>
              </w:rPr>
            </w:r>
          </w:p>
          <w:p>
            <w:pPr>
              <w:pBdr/>
              <w:tabs>
                <w:tab w:val="left" w:leader="none" w:pos="2154"/>
              </w:tabs>
              <w:spacing/>
              <w:ind/>
              <w:rPr>
                <w:sz w:val="22"/>
                <w:szCs w:val="20"/>
              </w:rPr>
            </w:pPr>
            <w:r>
              <w:rPr>
                <w:sz w:val="22"/>
                <w:szCs w:val="20"/>
              </w:rPr>
              <w:t xml:space="preserve">Η δυναμική ξεκινά με ένα βασικό ερώτημα που θα συζητηθεί σε μικρές ομάδες, με έναν εκπρόσωπο να παρουσιάζει τα συμπεράσματα, για παράδειγμα</w:t>
            </w:r>
            <w:r>
              <w:rPr>
                <w:sz w:val="22"/>
                <w:szCs w:val="20"/>
              </w:rPr>
              <w:t xml:space="preserve">:</w:t>
            </w:r>
            <w:r>
              <w:rPr>
                <w:sz w:val="22"/>
                <w:szCs w:val="20"/>
              </w:rPr>
              <w:t xml:space="preserve"> Είναι το πόσιμο νερό κοινό αγαθό</w:t>
            </w:r>
            <w:r>
              <w:rPr>
                <w:sz w:val="22"/>
                <w:szCs w:val="20"/>
              </w:rPr>
              <w:t xml:space="preserve">; ή </w:t>
            </w:r>
            <w:r>
              <w:rPr>
                <w:sz w:val="22"/>
                <w:szCs w:val="20"/>
              </w:rPr>
              <w:t xml:space="preserve">Ποιες </w:t>
            </w:r>
            <w:r>
              <w:rPr>
                <w:sz w:val="22"/>
                <w:szCs w:val="20"/>
              </w:rPr>
              <w:t xml:space="preserve">είναι οι προκ</w:t>
            </w:r>
            <w:r>
              <w:rPr>
                <w:sz w:val="22"/>
                <w:szCs w:val="20"/>
              </w:rPr>
              <w:t xml:space="preserve">λήσεις, τα προβλήματα και οι καταστάσεις που θα αντιμετωπίσουμε στο μέλλον όσον αφορά τη διαχείριση των φυσικών πόρων, ιδίως του νερού; Ποια είναι η επίδραση της κατανάλωσης νερού στο οικονομικό σύστημα; Η συζήτηση θα καταλάβει το πρώτο μισό της συνεδρίας.</w:t>
            </w:r>
            <w:r>
              <w:rPr>
                <w:sz w:val="22"/>
                <w:szCs w:val="20"/>
              </w:rPr>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Ολομέλεια και ομαδική εργασία σε ομάδες των 4 ή 5 ατόμων</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Φορητός υπολογιστής και προβολέας</w:t>
            </w:r>
            <w:r>
              <w:rPr>
                <w:sz w:val="18"/>
                <w:szCs w:val="18"/>
              </w:rPr>
            </w:r>
          </w:p>
          <w:p>
            <w:pPr>
              <w:pBdr/>
              <w:tabs>
                <w:tab w:val="left" w:leader="none" w:pos="2154"/>
              </w:tabs>
              <w:spacing/>
              <w:ind/>
              <w:jc w:val="left"/>
              <w:rPr>
                <w:sz w:val="18"/>
                <w:szCs w:val="18"/>
              </w:rPr>
            </w:pPr>
            <w:r>
              <w:rPr>
                <w:sz w:val="18"/>
                <w:szCs w:val="18"/>
              </w:rPr>
              <w:t xml:space="preserve">για την παρουσίαση</w:t>
            </w:r>
            <w:r>
              <w:rPr>
                <w:sz w:val="18"/>
                <w:szCs w:val="18"/>
              </w:rPr>
            </w:r>
          </w:p>
          <w:p>
            <w:pPr>
              <w:pBdr/>
              <w:tabs>
                <w:tab w:val="left" w:leader="none" w:pos="2154"/>
              </w:tabs>
              <w:spacing/>
              <w:ind/>
              <w:jc w:val="left"/>
              <w:rPr>
                <w:sz w:val="18"/>
                <w:szCs w:val="18"/>
              </w:rPr>
            </w:pPr>
            <w:r>
              <w:rPr>
                <w:sz w:val="18"/>
                <w:szCs w:val="18"/>
              </w:rPr>
              <w:t xml:space="preserve">επισκόπηση του παιχνιδιού</w:t>
            </w:r>
            <w:r>
              <w:rPr>
                <w:sz w:val="18"/>
                <w:szCs w:val="18"/>
              </w:rPr>
              <w:t xml:space="preserve">, σύνδεσμος προς βίντεο ή πόρος για να σκεφτείτε το θέμα</w:t>
            </w:r>
            <w:r>
              <w:rPr>
                <w:sz w:val="18"/>
                <w:szCs w:val="18"/>
              </w:rPr>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1-2</w:t>
            </w:r>
            <w:r>
              <w:rPr>
                <w:sz w:val="18"/>
                <w:szCs w:val="18"/>
              </w:rPr>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3</w:t>
            </w:r>
            <w:r>
              <w:rPr>
                <w:b/>
                <w:sz w:val="22"/>
                <w:szCs w:val="20"/>
              </w:rPr>
              <w:t xml:space="preserve">: </w:t>
            </w:r>
            <w:r>
              <w:rPr>
                <w:b/>
                <w:sz w:val="22"/>
                <w:szCs w:val="20"/>
              </w:rPr>
              <w:t xml:space="preserve">Εξάσκηση </w:t>
            </w:r>
            <w:r>
              <w:rPr>
                <w:b/>
                <w:sz w:val="22"/>
                <w:szCs w:val="20"/>
              </w:rPr>
              <w:t xml:space="preserve">των μηχανισμών του παιχνιδιού</w:t>
            </w:r>
            <w:r>
              <w:rPr>
                <w:b/>
                <w:sz w:val="22"/>
                <w:szCs w:val="20"/>
              </w:rPr>
            </w:r>
          </w:p>
          <w:p>
            <w:pPr>
              <w:pBdr/>
              <w:tabs>
                <w:tab w:val="left" w:leader="none" w:pos="2154"/>
              </w:tabs>
              <w:spacing/>
              <w:ind/>
              <w:rPr>
                <w:sz w:val="22"/>
                <w:szCs w:val="20"/>
              </w:rPr>
            </w:pPr>
            <w:r>
              <w:rPr>
                <w:sz w:val="22"/>
                <w:szCs w:val="20"/>
              </w:rPr>
              <w:t xml:space="preserve">Οι μαθητές </w:t>
            </w:r>
            <w:r>
              <w:rPr>
                <w:sz w:val="22"/>
                <w:szCs w:val="20"/>
              </w:rPr>
              <w:t xml:space="preserve">ανοίγουν </w:t>
            </w:r>
            <w:r>
              <w:rPr>
                <w:sz w:val="22"/>
                <w:szCs w:val="20"/>
              </w:rPr>
              <w:t xml:space="preserve">ένα πρόγραμμα </w:t>
            </w:r>
            <w:r>
              <w:rPr>
                <w:sz w:val="22"/>
                <w:szCs w:val="20"/>
              </w:rPr>
              <w:t xml:space="preserve">περιήγησης, εισέρχονται στο παιχνίδι </w:t>
            </w:r>
            <w:r>
              <w:rPr>
                <w:sz w:val="22"/>
                <w:szCs w:val="20"/>
              </w:rPr>
              <w:t xml:space="preserve">και </w:t>
            </w:r>
            <w:r>
              <w:rPr>
                <w:sz w:val="22"/>
                <w:szCs w:val="20"/>
              </w:rPr>
              <w:t xml:space="preserve">κάνουν κλικ στο κουμπί «Νέο </w:t>
            </w:r>
            <w:r>
              <w:rPr>
                <w:sz w:val="22"/>
                <w:szCs w:val="20"/>
              </w:rPr>
              <w:t xml:space="preserve">παιχνίδι» καθώς και στο μεγάλο σύμβολο «play» που εμφανίζεται. </w:t>
            </w:r>
            <w:r>
              <w:rPr>
                <w:sz w:val="22"/>
                <w:szCs w:val="20"/>
              </w:rPr>
            </w:r>
          </w:p>
          <w:p>
            <w:pPr>
              <w:pBdr/>
              <w:tabs>
                <w:tab w:val="left" w:leader="none" w:pos="2154"/>
              </w:tabs>
              <w:spacing/>
              <w:ind/>
              <w:rPr>
                <w:sz w:val="22"/>
                <w:szCs w:val="20"/>
              </w:rPr>
            </w:pPr>
            <w:r>
              <w:rPr>
                <w:sz w:val="22"/>
                <w:szCs w:val="20"/>
              </w:rPr>
              <w:t xml:space="preserve">Μόλις τελειώσει το παιχνίδι</w:t>
            </w:r>
            <w:r>
              <w:rPr>
                <w:rFonts w:ascii="Wingdings" w:hAnsi="Wingdings" w:eastAsia="Wingdings" w:cs="Wingdings"/>
                <w:sz w:val="22"/>
                <w:szCs w:val="20"/>
              </w:rPr>
              <w:t xml:space="preserve">,</w:t>
            </w:r>
            <w:r>
              <w:rPr>
                <w:sz w:val="22"/>
                <w:szCs w:val="20"/>
              </w:rPr>
              <w:t xml:space="preserve"> εμφανίζεται η σελίδα με το σκορ</w:t>
            </w:r>
            <w:r>
              <w:rPr>
                <w:rFonts w:ascii="Wingdings" w:hAnsi="Wingdings" w:eastAsia="Wingdings" w:cs="Wingdings"/>
                <w:sz w:val="22"/>
                <w:szCs w:val="20"/>
              </w:rPr>
              <w:t xml:space="preserve">. </w:t>
            </w:r>
            <w:r>
              <w:rPr>
                <w:sz w:val="22"/>
                <w:szCs w:val="20"/>
              </w:rPr>
              <w:t xml:space="preserve">Τα ζευγάρια </w:t>
            </w:r>
            <w:r>
              <w:rPr>
                <w:sz w:val="22"/>
                <w:szCs w:val="20"/>
              </w:rPr>
              <w:t xml:space="preserve">πρέπει να σταματήσουν σε αυτό το σημείο για να συγκρίνουν τα αποτελέσματα στην τάξη, αν το επιθυμούν.</w:t>
            </w:r>
            <w:r>
              <w:rPr>
                <w:sz w:val="22"/>
                <w:szCs w:val="20"/>
              </w:rPr>
            </w:r>
          </w:p>
          <w:p>
            <w:pPr>
              <w:pBdr/>
              <w:tabs>
                <w:tab w:val="left" w:leader="none" w:pos="2154"/>
              </w:tabs>
              <w:spacing/>
              <w:ind/>
              <w:rPr>
                <w:sz w:val="22"/>
                <w:szCs w:val="20"/>
              </w:rPr>
            </w:pPr>
            <w:r>
              <w:rPr>
                <w:sz w:val="22"/>
                <w:szCs w:val="20"/>
              </w:rPr>
              <w:t xml:space="preserve">Μετά την πρώτη δοκιμή ζευγαριών, ο εκπαιδευτικός θα καθοδηγήσει τους μαθητές μέσω ενός εισαγωγικού σεναρίου για να βεβαιωθεί ότι όλοι κατανοούν πώς να αλληλεπιδρούν με το παιχνίδι, να το διαβάζουν και να το ερμηνεύουν.</w:t>
            </w:r>
            <w:r>
              <w:rPr>
                <w:sz w:val="22"/>
                <w:szCs w:val="20"/>
              </w:rPr>
            </w:r>
          </w:p>
          <w:p>
            <w:pPr>
              <w:pBdr/>
              <w:tabs>
                <w:tab w:val="left" w:leader="none" w:pos="2154"/>
              </w:tabs>
              <w:spacing/>
              <w:ind/>
              <w:rPr>
                <w:sz w:val="22"/>
                <w:szCs w:val="20"/>
              </w:rPr>
            </w:pPr>
            <w:r>
              <w:rPr>
                <w:sz w:val="22"/>
                <w:szCs w:val="20"/>
              </w:rPr>
              <w:t xml:space="preserve">Εάν οι μαθητές αντιμετω</w:t>
            </w:r>
            <w:r>
              <w:rPr>
                <w:sz w:val="22"/>
                <w:szCs w:val="20"/>
              </w:rPr>
              <w:t xml:space="preserve">πίζουν γλωσσικά εμπόδια (καθώς το παιχνίδι μπορεί να μην είναι στη μητρική τους γλώσσα, αλλά μπορεί να χρησιμοποιηθεί στα αγγλικά), είναι απαραίτητο να χρησιμοποιηθούν εργαλεία μετάφρασης ή να παρασχεθεί εκ των προτέρων βασικό λεξιλόγιο με βασικές έννοιες.</w:t>
            </w:r>
            <w:r>
              <w:rPr>
                <w:sz w:val="22"/>
                <w:szCs w:val="20"/>
              </w:rPr>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Ομαδική εργασία σε ζευγάρια</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r>
            <w:r>
              <w:rPr>
                <w:sz w:val="18"/>
                <w:szCs w:val="18"/>
              </w:rPr>
            </w:r>
          </w:p>
        </w:tc>
      </w:tr>
      <w:tr>
        <w:trPr>
          <w:jc w:val="center"/>
        </w:trPr>
        <w:tc>
          <w:tcPr>
            <w:tcBorders/>
            <w:tcW w:w="279" w:type="dxa"/>
            <w:textDirection w:val="lrTb"/>
            <w:noWrap w:val="false"/>
          </w:tcPr>
          <w:p>
            <w:pPr>
              <w:pBdr/>
              <w:tabs>
                <w:tab w:val="left" w:leader="none" w:pos="2154"/>
              </w:tabs>
              <w:spacing/>
              <w:ind/>
              <w:jc w:val="center"/>
              <w:rPr>
                <w:iCs/>
                <w:sz w:val="18"/>
                <w:szCs w:val="18"/>
              </w:rPr>
            </w:pPr>
            <w:r>
              <w:rPr>
                <w:iCs/>
                <w:sz w:val="18"/>
                <w:szCs w:val="18"/>
              </w:rPr>
              <w:t xml:space="preserve">2</w:t>
            </w:r>
            <w:r>
              <w:rPr>
                <w:iCs/>
                <w:sz w:val="18"/>
                <w:szCs w:val="18"/>
              </w:rPr>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4</w:t>
            </w:r>
            <w:r>
              <w:rPr>
                <w:b/>
                <w:sz w:val="22"/>
                <w:szCs w:val="20"/>
              </w:rPr>
              <w:t xml:space="preserve">: </w:t>
            </w:r>
            <w:r>
              <w:rPr>
                <w:b/>
                <w:sz w:val="22"/>
                <w:szCs w:val="20"/>
              </w:rPr>
              <w:t xml:space="preserve">Πραγματικό παιχνίδι</w:t>
            </w:r>
            <w:r>
              <w:rPr>
                <w:b/>
                <w:sz w:val="22"/>
                <w:szCs w:val="20"/>
              </w:rPr>
            </w:r>
          </w:p>
          <w:p>
            <w:pPr>
              <w:pBdr/>
              <w:tabs>
                <w:tab w:val="left" w:leader="none" w:pos="2154"/>
              </w:tabs>
              <w:spacing/>
              <w:ind/>
              <w:rPr>
                <w:iCs/>
                <w:sz w:val="22"/>
                <w:szCs w:val="20"/>
              </w:rPr>
            </w:pPr>
            <w:r>
              <w:rPr>
                <w:iCs/>
                <w:sz w:val="22"/>
                <w:szCs w:val="20"/>
              </w:rPr>
              <w:t xml:space="preserve">Μόλις</w:t>
            </w:r>
            <w:r>
              <w:rPr>
                <w:iCs/>
                <w:sz w:val="22"/>
                <w:szCs w:val="20"/>
              </w:rPr>
              <w:t xml:space="preserve"> οι μαθητές κατανοήσουν τους μηχανισμούς του παιχνιδιού, θα αρχίσουν να παίζουν σε ζευγάρια για να βελτιώσουν τις δεξιότητές τους στην ομαδική εργασία και την επικοινωνία, καθώς θα πρέπει να συμβουλεύονται ο ένας τον άλλον για τις αποφάσεις που θα πάρουν. </w:t>
            </w:r>
            <w:r>
              <w:rPr>
                <w:iCs/>
                <w:sz w:val="22"/>
                <w:szCs w:val="20"/>
              </w:rPr>
              <w:t xml:space="preserve">Ο καθένας θα ανοίξει το παιχνίδι στη συσκευή του (smartphone, tablet ή PC).</w:t>
            </w:r>
            <w:r>
              <w:rPr>
                <w:iCs/>
                <w:sz w:val="22"/>
                <w:szCs w:val="20"/>
              </w:rPr>
            </w:r>
          </w:p>
          <w:p>
            <w:pPr>
              <w:pBdr/>
              <w:tabs>
                <w:tab w:val="left" w:leader="none" w:pos="2154"/>
              </w:tabs>
              <w:spacing/>
              <w:ind/>
              <w:rPr>
                <w:i/>
                <w:iCs/>
                <w:sz w:val="22"/>
                <w:szCs w:val="20"/>
              </w:rPr>
            </w:pPr>
            <w:r>
              <w:rPr>
                <w:iCs/>
                <w:sz w:val="22"/>
                <w:szCs w:val="20"/>
              </w:rPr>
              <w:t xml:space="preserve">Οι μαθητές θα παίξουν τα πρώτα στάδια του παιχνιδιού, λαμβάνοντας αποφάσεις που θα έχουν αντίκτυπο στην κατανομή των πόρων, την προστασία του περιβάλλοντος και τη συνολική ανάπτυξη. </w:t>
            </w:r>
            <w:r>
              <w:rPr>
                <w:iCs/>
                <w:sz w:val="22"/>
                <w:szCs w:val="20"/>
              </w:rPr>
              <w:t xml:space="preserve">Η ανάπτυξη ενός πίνακα ομάδας (Υλικό 1) θα διευκολύνει την κατανόηση της σημασίας της εξισορρόπησης των περιβαλλοντικών, οικονομικών και κοινωνικών παραγόντων. </w:t>
            </w:r>
            <w:r>
              <w:rPr>
                <w:iCs/>
                <w:sz w:val="22"/>
                <w:szCs w:val="20"/>
              </w:rPr>
              <w:t xml:space="preserve">Οι μαθητές </w:t>
            </w:r>
            <w:r>
              <w:rPr>
                <w:iCs/>
                <w:sz w:val="22"/>
                <w:szCs w:val="20"/>
              </w:rPr>
              <w:t xml:space="preserve">θα πρέπει να ενθαρρυνθούν να εξερευ</w:t>
            </w:r>
            <w:r>
              <w:rPr>
                <w:iCs/>
                <w:sz w:val="22"/>
                <w:szCs w:val="20"/>
              </w:rPr>
              <w:t xml:space="preserve">νήσουν διαφορετικούς τρόπους λήψης αποφάσεων και να εξετάσουν τις μακροπρόθεσμες συνέπειες των επιλογών τους. Οι εκπαιδευτικοί μπορούν να παρέχουν καθοδήγηση αν χρειαστεί, ειδικά αν οι μαθητές έχουν δυσκολία να κατανοήσουν τις συνέπειες των επιλογών τους. </w:t>
            </w:r>
            <w:r>
              <w:rPr>
                <w:i/>
                <w:iCs/>
                <w:sz w:val="22"/>
                <w:szCs w:val="20"/>
              </w:rPr>
            </w:r>
          </w:p>
        </w:tc>
        <w:tc>
          <w:tcPr>
            <w:tcBorders/>
            <w:tcW w:w="936" w:type="dxa"/>
            <w:textDirection w:val="lrTb"/>
            <w:noWrap w:val="false"/>
          </w:tcPr>
          <w:p>
            <w:pPr>
              <w:pBdr/>
              <w:tabs>
                <w:tab w:val="left" w:leader="none" w:pos="2154"/>
              </w:tabs>
              <w:spacing/>
              <w:ind/>
              <w:jc w:val="left"/>
              <w:rPr>
                <w:i/>
                <w:iCs/>
                <w:sz w:val="18"/>
                <w:szCs w:val="18"/>
              </w:rPr>
            </w:pPr>
            <w:r>
              <w:rPr>
                <w:sz w:val="18"/>
                <w:szCs w:val="18"/>
              </w:rPr>
              <w:t xml:space="preserve">Ομαδική εργασία σε ζευγάρια</w:t>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sz w:val="18"/>
                <w:szCs w:val="18"/>
              </w:rPr>
              <w:t xml:space="preserve">Υλικό 1</w:t>
            </w:r>
            <w:r>
              <w:rPr>
                <w:i/>
                <w:iCs/>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Φάση αναστοχασμού</w:t>
      </w:r>
      <w:r>
        <w:rPr>
          <w:b/>
          <w:bCs/>
          <w:color w:val="01c172" w:themeColor="accent4" w:themeShade="BF"/>
          <w:sz w:val="28"/>
          <w:szCs w:val="24"/>
        </w:rPr>
      </w:r>
    </w:p>
    <w:tbl>
      <w:tblPr>
        <w:tblStyle w:val="1023"/>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62"/>
        <w:gridCol w:w="910"/>
        <w:gridCol w:w="1620"/>
      </w:tblGrid>
      <w:tr>
        <w:trPr>
          <w:jc w:val="center"/>
        </w:trPr>
        <w:tc>
          <w:tcPr>
            <w:shd w:val="clear" w:color="auto" w:fill="9bfed6" w:themeFill="accent4" w:themeFillTint="66"/>
            <w:tcBorders/>
            <w:tcW w:w="279"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Μάθημα αριθ.</w:t>
            </w:r>
            <w:r>
              <w:rPr>
                <w:b/>
                <w:bCs/>
                <w:sz w:val="18"/>
                <w:szCs w:val="18"/>
              </w:rPr>
            </w:r>
          </w:p>
        </w:tc>
        <w:tc>
          <w:tcPr>
            <w:shd w:val="clear" w:color="auto" w:fill="9bfed6" w:themeFill="accent4" w:themeFillTint="66"/>
            <w:tcBorders/>
            <w:tcW w:w="6515"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p>
        </w:tc>
        <w:tc>
          <w:tcPr>
            <w:shd w:val="clear" w:color="auto" w:fill="9bfed6" w:themeFill="accent4" w:themeFillTint="66"/>
            <w:tcBorders/>
            <w:tcW w:w="936" w:type="dxa"/>
            <w:vAlign w:val="center"/>
            <w:textDirection w:val="lrTb"/>
            <w:noWrap w:val="false"/>
          </w:tcPr>
          <w:p>
            <w:pPr>
              <w:pBdr/>
              <w:tabs>
                <w:tab w:val="left" w:leader="none" w:pos="2154"/>
              </w:tabs>
              <w:spacing/>
              <w:ind/>
              <w:jc w:val="center"/>
              <w:rPr>
                <w:b/>
                <w:bCs/>
                <w:sz w:val="18"/>
                <w:szCs w:val="18"/>
              </w:rPr>
            </w:pPr>
            <w:r>
              <w:rPr>
                <w:b/>
                <w:bCs/>
                <w:sz w:val="18"/>
                <w:szCs w:val="18"/>
              </w:rPr>
              <w:t xml:space="preserve">Κοινωνική μορφή</w:t>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Υλικό/τεχνικές απαιτήσεις</w:t>
            </w:r>
            <w:r>
              <w:rPr>
                <w:b/>
                <w:bCs/>
                <w:sz w:val="18"/>
                <w:szCs w:val="18"/>
              </w:rPr>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2-3</w:t>
            </w:r>
            <w:r>
              <w:rPr>
                <w:sz w:val="18"/>
                <w:szCs w:val="18"/>
              </w:rPr>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5</w:t>
            </w:r>
            <w:r>
              <w:rPr>
                <w:b/>
                <w:sz w:val="22"/>
                <w:szCs w:val="20"/>
              </w:rPr>
              <w:t xml:space="preserve">: </w:t>
            </w:r>
            <w:r>
              <w:rPr>
                <w:b/>
                <w:sz w:val="22"/>
                <w:szCs w:val="20"/>
              </w:rPr>
              <w:t xml:space="preserve">Αναστοχασμός πάνω στο παιχνίδι και συζήτηση στην τάξη</w:t>
            </w:r>
            <w:r>
              <w:rPr>
                <w:b/>
                <w:sz w:val="22"/>
                <w:szCs w:val="20"/>
              </w:rPr>
            </w:r>
          </w:p>
          <w:p>
            <w:pPr>
              <w:pBdr/>
              <w:tabs>
                <w:tab w:val="left" w:leader="none" w:pos="2154"/>
              </w:tabs>
              <w:spacing/>
              <w:ind/>
              <w:rPr>
                <w:sz w:val="22"/>
                <w:szCs w:val="20"/>
              </w:rPr>
            </w:pPr>
            <w:r>
              <w:rPr>
                <w:sz w:val="22"/>
                <w:szCs w:val="20"/>
              </w:rPr>
              <w:t xml:space="preserve">Μόλις οι μαθητές ολοκληρώσουν το παιχνίδι, ο εκπαιδευτικός θα καθοδηγήσει μια συνεδρία αναστοχασμού σχετικά με τις εμπειρίες και τα αποτελέσματα. </w:t>
            </w:r>
            <w:r>
              <w:rPr>
                <w:iCs/>
                <w:sz w:val="22"/>
                <w:szCs w:val="20"/>
              </w:rPr>
              <w:t xml:space="preserve">Το παιχνίδι έχει τρεις φάσεις με τρεις προκλήσεις που σχετίζονται με καθεμία από αυτές, με κάθε φάση να διαρκεί περίπου 20 λεπτά κατά μέσο όρο. </w:t>
            </w:r>
            <w:r>
              <w:rPr>
                <w:iCs/>
                <w:sz w:val="22"/>
                <w:szCs w:val="20"/>
              </w:rPr>
              <w:t xml:space="preserve">Για να ληφθεί υπόψη ο χρόνος όλων των μαθητών, μισή διδακτική ώρα είναι αρκετή για να παιχτεί το παιχνίδι. </w:t>
            </w:r>
            <w:r>
              <w:rPr>
                <w:iCs/>
                <w:sz w:val="22"/>
                <w:szCs w:val="20"/>
              </w:rPr>
              <w:t xml:space="preserve">Οι μαθητές που ολοκληρώνουν το παιχνίδι θα μπορούν να συγκρίνουν τον πίνακα τους και να βγάλουν συμπεράσματα στην τάξη για την επόμενη συνεδρία. </w:t>
            </w:r>
            <w:r>
              <w:rPr>
                <w:sz w:val="22"/>
                <w:szCs w:val="20"/>
              </w:rPr>
              <w:t xml:space="preserve">Θα χρησιμοποιήσουν τον πίνακα της ομάδας και</w:t>
            </w:r>
            <w:r>
              <w:rPr>
                <w:sz w:val="22"/>
                <w:szCs w:val="20"/>
              </w:rPr>
              <w:t xml:space="preserve">,</w:t>
            </w:r>
            <w:r>
              <w:rPr>
                <w:sz w:val="22"/>
                <w:szCs w:val="20"/>
              </w:rPr>
              <w:t xml:space="preserve"> σε ομάδες των δύο ή τριών </w:t>
            </w:r>
            <w:r>
              <w:rPr>
                <w:sz w:val="22"/>
                <w:szCs w:val="20"/>
              </w:rPr>
              <w:t xml:space="preserve">ζευγαριών, </w:t>
            </w:r>
            <w:r>
              <w:rPr>
                <w:sz w:val="22"/>
                <w:szCs w:val="20"/>
              </w:rPr>
              <w:t xml:space="preserve">θα </w:t>
            </w:r>
            <w:r>
              <w:rPr>
                <w:sz w:val="22"/>
                <w:szCs w:val="20"/>
              </w:rPr>
              <w:t xml:space="preserve">συζητήσουν τις ακόλουθες ερωτήσεις (</w:t>
            </w:r>
            <w:r>
              <w:rPr>
                <w:sz w:val="22"/>
                <w:szCs w:val="20"/>
              </w:rPr>
              <w:t xml:space="preserve">είναι ενδεικτικές και μπορούν να τροποποιηθούν από τον εκπαιδευτικό). Οι αρχικές ερωτήσεις αναστοχασμού θα μπορούσαν να είναι:</w:t>
            </w:r>
            <w:r>
              <w:rPr>
                <w:sz w:val="22"/>
                <w:szCs w:val="20"/>
              </w:rPr>
            </w:r>
          </w:p>
          <w:p>
            <w:pPr>
              <w:pBdr/>
              <w:tabs>
                <w:tab w:val="left" w:leader="none" w:pos="2154"/>
              </w:tabs>
              <w:spacing/>
              <w:ind/>
              <w:rPr>
                <w:sz w:val="22"/>
                <w:szCs w:val="20"/>
              </w:rPr>
            </w:pPr>
            <w:r>
              <w:rPr>
                <w:sz w:val="22"/>
                <w:szCs w:val="20"/>
              </w:rPr>
              <w:t xml:space="preserve">- Ποια ήταν η πιο δύσκολη απόφαση στο παιχνίδι - γιατί;</w:t>
            </w:r>
            <w:r>
              <w:rPr>
                <w:sz w:val="22"/>
                <w:szCs w:val="20"/>
              </w:rPr>
            </w:r>
          </w:p>
          <w:p>
            <w:pPr>
              <w:pBdr/>
              <w:tabs>
                <w:tab w:val="left" w:leader="none" w:pos="2154"/>
              </w:tabs>
              <w:spacing/>
              <w:ind/>
              <w:rPr>
                <w:sz w:val="22"/>
                <w:szCs w:val="20"/>
              </w:rPr>
            </w:pPr>
            <w:r>
              <w:rPr>
                <w:sz w:val="22"/>
                <w:szCs w:val="20"/>
              </w:rPr>
              <w:t xml:space="preserve">- Πώς επηρέασαν οι αποφάσεις σας τους υδάτινους πόρους;</w:t>
            </w:r>
            <w:r>
              <w:rPr>
                <w:sz w:val="22"/>
                <w:szCs w:val="20"/>
              </w:rPr>
            </w:r>
          </w:p>
          <w:p>
            <w:pPr>
              <w:pBdr/>
              <w:tabs>
                <w:tab w:val="left" w:leader="none" w:pos="2154"/>
              </w:tabs>
              <w:spacing/>
              <w:ind/>
              <w:rPr>
                <w:sz w:val="22"/>
                <w:szCs w:val="20"/>
              </w:rPr>
            </w:pPr>
            <w:r>
              <w:rPr>
                <w:sz w:val="22"/>
                <w:szCs w:val="20"/>
              </w:rPr>
              <w:t xml:space="preserve">- Ποιες στρατηγικές χρησιμοποιήσατε για να εξισορροπήσετε την οικονομική ανάπτυξη, την περιβαλλοντική βιωσιμότητα και την οικονομική βιωσιμότητα; </w:t>
            </w:r>
            <w:r>
              <w:rPr>
                <w:sz w:val="22"/>
                <w:szCs w:val="20"/>
              </w:rPr>
            </w:r>
          </w:p>
          <w:p>
            <w:pPr>
              <w:pBdr/>
              <w:tabs>
                <w:tab w:val="left" w:leader="none" w:pos="2154"/>
              </w:tabs>
              <w:spacing/>
              <w:ind/>
              <w:rPr>
                <w:sz w:val="22"/>
                <w:szCs w:val="20"/>
              </w:rPr>
            </w:pPr>
            <w:r>
              <w:rPr>
                <w:sz w:val="22"/>
                <w:szCs w:val="20"/>
              </w:rPr>
              <w:t xml:space="preserve">- Πώς σας έκανε το παιχνίδι να σκεφτείτε τους υδάτινους πόρους και την πραγματικότητα;</w:t>
            </w:r>
            <w:r>
              <w:rPr>
                <w:sz w:val="22"/>
                <w:szCs w:val="20"/>
              </w:rPr>
            </w:r>
          </w:p>
          <w:p>
            <w:pPr>
              <w:pBdr/>
              <w:tabs>
                <w:tab w:val="left" w:leader="none" w:pos="2154"/>
              </w:tabs>
              <w:spacing/>
              <w:ind/>
              <w:rPr>
                <w:sz w:val="22"/>
                <w:szCs w:val="20"/>
              </w:rPr>
            </w:pPr>
            <w:r>
              <w:rPr>
                <w:sz w:val="22"/>
                <w:szCs w:val="20"/>
              </w:rPr>
              <w:t xml:space="preserve">- Υπήρξαν στιγμές που υπήρχαν εντάσεις μεταξύ οικονομικών, περιβαλλοντικών και κοινωνικών ζητημάτων; Ποια ήταν η προτεραιότητα σε αυτές τις στιγμές;</w:t>
            </w:r>
            <w:r>
              <w:rPr>
                <w:sz w:val="22"/>
                <w:szCs w:val="20"/>
              </w:rPr>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Ομαδική εργασία</w:t>
            </w:r>
            <w:r>
              <w:rPr>
                <w:sz w:val="18"/>
                <w:szCs w:val="18"/>
              </w:rPr>
              <w:t xml:space="preserve"> 4-6 ατόμων</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1</w:t>
            </w:r>
            <w:r>
              <w:rPr>
                <w:sz w:val="18"/>
                <w:szCs w:val="18"/>
              </w:rPr>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6</w:t>
            </w:r>
            <w:r>
              <w:rPr>
                <w:b/>
                <w:sz w:val="22"/>
                <w:szCs w:val="20"/>
              </w:rPr>
              <w:t xml:space="preserve">: Σκεφτείτε σε ομάδες τα ευρήματα του Υλικού 1</w:t>
            </w:r>
            <w:r>
              <w:rPr>
                <w:b/>
                <w:sz w:val="22"/>
                <w:szCs w:val="20"/>
              </w:rPr>
            </w:r>
          </w:p>
          <w:p>
            <w:pPr>
              <w:pBdr/>
              <w:tabs>
                <w:tab w:val="left" w:leader="none" w:pos="2154"/>
              </w:tabs>
              <w:spacing/>
              <w:ind/>
              <w:rPr>
                <w:sz w:val="22"/>
                <w:szCs w:val="20"/>
              </w:rPr>
            </w:pPr>
            <w:r>
              <w:rPr>
                <w:sz w:val="22"/>
                <w:szCs w:val="20"/>
              </w:rPr>
              <w:t xml:space="preserve">Σε αυτή τη φάση θα εξετάσετε τις επιλογές που έκανε η πλειοψηφία, αλλά και τις εναλλακτικές λύσεις που επιλέχθηκαν λιγότερο. </w:t>
            </w:r>
            <w:r>
              <w:rPr>
                <w:sz w:val="22"/>
                <w:szCs w:val="20"/>
              </w:rPr>
            </w:r>
          </w:p>
          <w:p>
            <w:pPr>
              <w:pBdr/>
              <w:tabs>
                <w:tab w:val="left" w:leader="none" w:pos="2154"/>
              </w:tabs>
              <w:spacing/>
              <w:ind/>
              <w:rPr>
                <w:sz w:val="22"/>
                <w:szCs w:val="20"/>
              </w:rPr>
            </w:pPr>
            <w:r>
              <w:rPr>
                <w:sz w:val="22"/>
                <w:szCs w:val="20"/>
              </w:rPr>
              <w:t xml:space="preserve">Οι μαθητές θα πρέπει να μοιραστούν τις εμπειρίες τους και να συζητήσουν πώς οι στρατηγικές τους στο παιχνίδι μπορούν να αντιμετωπίσουν πραγματικά ζητήματα. Για να γίνει αυτό, κάθε ομάδα θα </w:t>
            </w:r>
            <w:r>
              <w:rPr>
                <w:sz w:val="22"/>
                <w:szCs w:val="20"/>
              </w:rPr>
              <w:t xml:space="preserve">έχει έναν εκπρόσωπο που θα παρουσιάσει τα αποτελέσματα των ερωτήσεων και στη συνέχεια οι μαθητές που επιθυμούν θα μπορούν να παρέμβουν</w:t>
            </w:r>
            <w:r>
              <w:rPr>
                <w:sz w:val="22"/>
                <w:szCs w:val="20"/>
              </w:rPr>
              <w:t xml:space="preserve">.</w:t>
            </w:r>
            <w:r>
              <w:rPr>
                <w:sz w:val="22"/>
                <w:szCs w:val="20"/>
              </w:rPr>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Ολομέλεια</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r>
            <w:r>
              <w:rPr>
                <w:sz w:val="18"/>
                <w:szCs w:val="18"/>
              </w:rPr>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3-4</w:t>
            </w:r>
            <w:r>
              <w:rPr>
                <w:sz w:val="18"/>
                <w:szCs w:val="18"/>
              </w:rPr>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7: </w:t>
            </w:r>
            <w:r>
              <w:rPr>
                <w:b/>
                <w:sz w:val="22"/>
                <w:szCs w:val="20"/>
              </w:rPr>
              <w:t xml:space="preserve">Η </w:t>
            </w:r>
            <w:r>
              <w:rPr>
                <w:b/>
                <w:sz w:val="22"/>
                <w:szCs w:val="20"/>
              </w:rPr>
              <w:t xml:space="preserve">δική μου </w:t>
            </w:r>
            <w:r>
              <w:rPr>
                <w:b/>
                <w:sz w:val="22"/>
                <w:szCs w:val="20"/>
              </w:rPr>
              <w:t xml:space="preserve">σκέψη «Το αποτύπωμα του νερού»</w:t>
            </w:r>
            <w:r>
              <w:rPr>
                <w:b/>
                <w:sz w:val="22"/>
                <w:szCs w:val="20"/>
              </w:rPr>
            </w:r>
          </w:p>
          <w:p>
            <w:pPr>
              <w:pBdr/>
              <w:tabs>
                <w:tab w:val="left" w:leader="none" w:pos="2154"/>
              </w:tabs>
              <w:spacing/>
              <w:ind/>
              <w:rPr>
                <w:sz w:val="22"/>
                <w:szCs w:val="20"/>
              </w:rPr>
            </w:pPr>
            <w:r>
              <w:rPr>
                <w:sz w:val="22"/>
                <w:szCs w:val="20"/>
              </w:rPr>
              <w:t xml:space="preserve">Στόχος της παρακάτω δραστηριότητας </w:t>
            </w:r>
            <w:r>
              <w:rPr>
                <w:sz w:val="22"/>
                <w:szCs w:val="20"/>
              </w:rPr>
              <w:t xml:space="preserve">είναι να αναλυθεί ο αντίκτυπος ορισμένων ενεργειών στο περιβάλλον και την υγεία, </w:t>
            </w:r>
            <w:r>
              <w:rPr>
                <w:sz w:val="22"/>
                <w:szCs w:val="20"/>
              </w:rPr>
              <w:t xml:space="preserve">προκειμένου να προωθηθούν και να υιοθετηθούν</w:t>
            </w:r>
            <w:r>
              <w:rPr>
                <w:sz w:val="22"/>
                <w:szCs w:val="20"/>
              </w:rPr>
              <w:t xml:space="preserve"> συνήθειες που αποφεύγουν ή ελαχιστοποιούν τις αρνητικές επιπτώσεις στο περιβάλλον, είναι συμβατές με τη βιώσιμη ανάπτυξη και καθιστούν δυνατή τη διατήρηση και τη βελτίωση της ατομικής και συλλογικής υγείας, στην περίπτωση αυτή μέσω της κατανάλωσης νερού. </w:t>
            </w:r>
            <w:r>
              <w:rPr>
                <w:sz w:val="22"/>
                <w:szCs w:val="20"/>
              </w:rPr>
              <w:t xml:space="preserve">Για το σκοπό αυτό, το «παιχνίδι του υδατικού αποτυπώματος» θα ενισχύσει την προηγούμενη εργασία </w:t>
            </w:r>
            <w:r>
              <w:rPr>
                <w:sz w:val="22"/>
                <w:szCs w:val="20"/>
              </w:rPr>
              <w:t xml:space="preserve">που έγινε μέσω του Matrix, αλλά στη </w:t>
            </w:r>
            <w:r>
              <w:rPr>
                <w:sz w:val="22"/>
                <w:szCs w:val="20"/>
              </w:rPr>
              <w:t xml:space="preserve">δική τους ζωή.</w:t>
            </w:r>
            <w:r>
              <w:rPr>
                <w:sz w:val="22"/>
                <w:szCs w:val="20"/>
              </w:rPr>
            </w:r>
          </w:p>
          <w:p>
            <w:pPr>
              <w:pBdr/>
              <w:tabs>
                <w:tab w:val="left" w:leader="none" w:pos="2154"/>
              </w:tabs>
              <w:spacing/>
              <w:ind/>
              <w:rPr>
                <w:sz w:val="22"/>
                <w:szCs w:val="20"/>
              </w:rPr>
            </w:pPr>
            <w:r>
              <w:rPr>
                <w:sz w:val="22"/>
                <w:szCs w:val="20"/>
              </w:rPr>
              <w:t xml:space="preserve">Το νερό είναι απαραίτητο για κα</w:t>
            </w:r>
            <w:r>
              <w:rPr>
                <w:sz w:val="22"/>
                <w:szCs w:val="20"/>
              </w:rPr>
              <w:t xml:space="preserve">θημερινές δραστηριότητες όπως το πόσιμο, το μαγείρεμα και το πλύσιμο, αλλά χρειάζεται πολύ περισσότερο για την παραγωγή καθημερινών προϊόντων όπως τρόφιμα, χαρτί και βαμβάκι. Το **υδατικό αποτύπωμα** μετρά τη συνολική ποσότητα νερού που χρησιμοποιείται σε </w:t>
            </w:r>
            <w:r>
              <w:rPr>
                <w:sz w:val="22"/>
                <w:szCs w:val="20"/>
              </w:rPr>
              <w:t xml:space="preserve">όλη την αλυσίδα παραγωγής ενός προϊόντος.  </w:t>
            </w:r>
            <w:r>
              <w:rPr>
                <w:sz w:val="22"/>
                <w:szCs w:val="20"/>
              </w:rPr>
            </w:r>
          </w:p>
          <w:p>
            <w:pPr>
              <w:pBdr/>
              <w:tabs>
                <w:tab w:val="left" w:leader="none" w:pos="2154"/>
              </w:tabs>
              <w:spacing/>
              <w:ind/>
              <w:rPr>
                <w:sz w:val="22"/>
                <w:szCs w:val="20"/>
              </w:rPr>
            </w:pPr>
            <w:r>
              <w:rPr>
                <w:sz w:val="22"/>
                <w:szCs w:val="20"/>
              </w:rPr>
              <w:t xml:space="preserve">Σε ένα ενεργό </w:t>
            </w:r>
            <w:r>
              <w:rPr>
                <w:sz w:val="22"/>
                <w:szCs w:val="20"/>
              </w:rPr>
              <w:t xml:space="preserve">παιχνίδι, οι συμμετέχοντες μαθαίνουν για το υδατικό τους αποτύπωμα «ψωνίζοντας» ένα γεύμα σε ένα σούπερ μάρκετ, εστιάζοντας όχι στην τιμή αλλά στο κόστος του νερού που απαιτείται για την παραγωγή του γεύματος. Ο στόχος είναι να επιλέξουν τα τρόφιμα με </w:t>
            </w:r>
            <w:r>
              <w:rPr>
                <w:sz w:val="22"/>
                <w:szCs w:val="20"/>
              </w:rPr>
              <w:t xml:space="preserve">το μικρότερο υδατικό αποτύπωμα.  </w:t>
            </w:r>
            <w:r>
              <w:rPr>
                <w:sz w:val="22"/>
                <w:szCs w:val="20"/>
              </w:rPr>
            </w:r>
          </w:p>
          <w:p>
            <w:pPr>
              <w:pBdr/>
              <w:tabs>
                <w:tab w:val="left" w:leader="none" w:pos="2154"/>
              </w:tabs>
              <w:spacing/>
              <w:ind/>
              <w:rPr>
                <w:sz w:val="22"/>
                <w:szCs w:val="20"/>
              </w:rPr>
            </w:pPr>
            <w:r>
              <w:rPr>
                <w:sz w:val="22"/>
                <w:szCs w:val="20"/>
              </w:rPr>
              <w:t xml:space="preserve">Στις ομάδες με τις οποίες έχουν παίξει προηγουμένως</w:t>
            </w:r>
            <w:r>
              <w:rPr>
                <w:sz w:val="22"/>
                <w:szCs w:val="20"/>
              </w:rPr>
              <w:t xml:space="preserve">, </w:t>
            </w:r>
            <w:r>
              <w:rPr>
                <w:sz w:val="22"/>
                <w:szCs w:val="20"/>
              </w:rPr>
              <w:t xml:space="preserve">θα</w:t>
            </w:r>
            <w:r>
              <w:rPr>
                <w:sz w:val="22"/>
                <w:szCs w:val="20"/>
              </w:rPr>
              <w:t xml:space="preserve"> τους </w:t>
            </w:r>
            <w:r>
              <w:rPr>
                <w:sz w:val="22"/>
                <w:szCs w:val="20"/>
              </w:rPr>
              <w:t xml:space="preserve">ανατεθε</w:t>
            </w:r>
            <w:r>
              <w:rPr>
                <w:sz w:val="22"/>
                <w:szCs w:val="20"/>
              </w:rPr>
              <w:t xml:space="preserve">ί να επιλέξουν ένα γεύμα και ένα επιδόρπιο από ένα βιβλίο συνταγών που περιλαμβάνει τα συστατικά. Ενώ αναζητούν μια νόστιμη επιλογή, πρέπει να δώσουν προτεραιότητα στη μείωση του συνολικού υδατικού αποτυπώματος. Το «κατάστημα» δείχνει το υδατικό αποτύπωμα </w:t>
            </w:r>
            <w:r>
              <w:rPr>
                <w:sz w:val="22"/>
                <w:szCs w:val="20"/>
              </w:rPr>
              <w:t xml:space="preserve">(σε λίτρα) όλων των προϊόντων.  </w:t>
            </w:r>
            <w:r>
              <w:rPr>
                <w:sz w:val="22"/>
                <w:szCs w:val="20"/>
              </w:rPr>
            </w:r>
          </w:p>
          <w:p>
            <w:pPr>
              <w:pBdr/>
              <w:tabs>
                <w:tab w:val="left" w:leader="none" w:pos="2154"/>
              </w:tabs>
              <w:spacing/>
              <w:ind/>
              <w:rPr>
                <w:sz w:val="22"/>
                <w:szCs w:val="20"/>
              </w:rPr>
            </w:pPr>
            <w:r>
              <w:rPr>
                <w:sz w:val="22"/>
                <w:szCs w:val="20"/>
              </w:rPr>
              <w:t xml:space="preserve">Μόλις μια ομάδα συγκεντρώσει τα τρόφιμα σε ένα καλάθι, πρέπει να υπολογίσει το συνολικό αποτύπωμα νερού των επιλεγμένων συστατικών. Η ομάδα </w:t>
            </w:r>
            <w:r>
              <w:rPr>
                <w:sz w:val="22"/>
                <w:szCs w:val="20"/>
              </w:rPr>
              <w:t xml:space="preserve">με το χαμηλότερο σύνολο κερδίζει το παιχνίδι, αποδεικνύοντας τη σημασία των επιλογών που εξοικονομούν νερό.  Είναι επίσης σημαντικό να εκτιμήσουν τις συγκρούσεις που δημιουργούν για αυτούς οι επιλογές που κάνουν.  Για τη δραστηριότητα, </w:t>
            </w:r>
            <w:r>
              <w:rPr>
                <w:sz w:val="22"/>
                <w:szCs w:val="20"/>
              </w:rPr>
              <w:t xml:space="preserve">παρέχονται </w:t>
            </w:r>
            <w:r>
              <w:rPr>
                <w:sz w:val="22"/>
                <w:szCs w:val="20"/>
              </w:rPr>
              <w:t xml:space="preserve">όλα τα δεδομένα σχετικά με το αποτύπωμα νερού των συστατικών, </w:t>
            </w:r>
            <w:r>
              <w:rPr>
                <w:sz w:val="22"/>
                <w:szCs w:val="20"/>
              </w:rPr>
              <w:t xml:space="preserve">των γευμάτων και των επιδορπίων.</w:t>
            </w:r>
            <w:r>
              <w:rPr>
                <w:sz w:val="22"/>
                <w:szCs w:val="20"/>
              </w:rPr>
            </w:r>
          </w:p>
          <w:p>
            <w:pPr>
              <w:pBdr/>
              <w:tabs>
                <w:tab w:val="left" w:leader="none" w:pos="2154"/>
              </w:tabs>
              <w:spacing/>
              <w:ind/>
              <w:rPr>
                <w:sz w:val="22"/>
                <w:szCs w:val="20"/>
              </w:rPr>
            </w:pPr>
            <w:r>
              <w:rPr>
                <w:sz w:val="22"/>
                <w:szCs w:val="20"/>
              </w:rPr>
              <w:t xml:space="preserve">Περισσότεροι πόροι: </w:t>
            </w:r>
            <w:hyperlink r:id="rId21" w:tooltip="https://www.youtube.com/watch?v=b1f-G6v3voA" w:history="1">
              <w:r>
                <w:rPr>
                  <w:rStyle w:val="1007"/>
                  <w:sz w:val="22"/>
                  <w:szCs w:val="20"/>
                </w:rPr>
                <w:t xml:space="preserve">https://www.youtube.com/watch?v=b1f-G6v3voA</w:t>
              </w:r>
            </w:hyperlink>
            <w:r/>
            <w:r>
              <w:rPr>
                <w:sz w:val="22"/>
                <w:szCs w:val="20"/>
              </w:rPr>
            </w:r>
          </w:p>
          <w:p>
            <w:pPr>
              <w:pBdr/>
              <w:tabs>
                <w:tab w:val="left" w:leader="none" w:pos="2154"/>
              </w:tabs>
              <w:spacing/>
              <w:ind/>
              <w:rPr>
                <w:sz w:val="22"/>
                <w:szCs w:val="20"/>
              </w:rPr>
            </w:pPr>
            <w:r>
              <w:rPr>
                <w:sz w:val="22"/>
                <w:szCs w:val="20"/>
              </w:rPr>
              <w:t xml:space="preserve">Ένα από τα μέλη της ομάδας θα καταγράψει τυχόν διλήμματα, αμφιβολίες, προβλήματα, ερωτήσεις ή διαφωνίες που προκύπτουν κατά τη διάρκεια της ψηφοφορίας. </w:t>
            </w:r>
            <w:r>
              <w:rPr>
                <w:sz w:val="22"/>
                <w:szCs w:val="20"/>
              </w:rPr>
            </w:r>
          </w:p>
          <w:p>
            <w:pPr>
              <w:pBdr/>
              <w:tabs>
                <w:tab w:val="left" w:leader="none" w:pos="2154"/>
              </w:tabs>
              <w:spacing/>
              <w:ind/>
              <w:rPr>
                <w:sz w:val="22"/>
                <w:szCs w:val="20"/>
              </w:rPr>
            </w:pPr>
            <w:r>
              <w:rPr>
                <w:sz w:val="22"/>
                <w:szCs w:val="20"/>
              </w:rPr>
              <w:t xml:space="preserve">Στόχος αυτής της δραστηριότητας είναι να λειτουργήσει ως καταλύτης προβληματισμού για </w:t>
            </w:r>
            <w:r>
              <w:rPr>
                <w:sz w:val="22"/>
                <w:szCs w:val="20"/>
              </w:rPr>
              <w:t xml:space="preserve">τις ομάδες που έ</w:t>
            </w:r>
            <w:r>
              <w:rPr>
                <w:sz w:val="22"/>
                <w:szCs w:val="20"/>
              </w:rPr>
              <w:t xml:space="preserve">χουν ήδη ολοκληρώσει τα προηγούμενα βήματα. Επομένως, θα αποτελέσει μια δραστηριότητα ενίσχυσης των τελικών συμπερασμάτων. Στόχος είναι να προχωρήσουμε σε μεγαλύτερο βάθος, με σκοπό να προτείνουμε και να υιοθετήσουμε βιώσιμες συνήθειες, αναλύοντας κριτικά </w:t>
            </w:r>
            <w:r>
              <w:rPr>
                <w:sz w:val="22"/>
                <w:szCs w:val="20"/>
              </w:rPr>
              <w:t xml:space="preserve">τις</w:t>
            </w:r>
            <w:r>
              <w:rPr>
                <w:sz w:val="22"/>
                <w:szCs w:val="20"/>
              </w:rPr>
              <w:t xml:space="preserve"> δικές μας </w:t>
            </w:r>
            <w:r>
              <w:rPr>
                <w:sz w:val="22"/>
                <w:szCs w:val="20"/>
              </w:rPr>
              <w:t xml:space="preserve">δραστηριότητες </w:t>
            </w:r>
            <w:r>
              <w:rPr>
                <w:sz w:val="22"/>
                <w:szCs w:val="20"/>
              </w:rPr>
              <w:t xml:space="preserve">και </w:t>
            </w:r>
            <w:r>
              <w:rPr>
                <w:sz w:val="22"/>
                <w:szCs w:val="20"/>
              </w:rPr>
              <w:t xml:space="preserve">τις δραστηριότητες των άλλων με βάση τη</w:t>
            </w:r>
            <w:r>
              <w:rPr>
                <w:sz w:val="22"/>
                <w:szCs w:val="20"/>
              </w:rPr>
              <w:t xml:space="preserve"> δική μας λογική, τις γνώσεις που έχουμε αποκτήσει και τις διαθέσιμες πληροφορίες, στην περίπτωση αυτή το «υδατικό αποτύπωμα». Με αυτή την έννοια, θα αναπτύξει επίσης την ικανότητα να αντιμετωπίζουμε προκλήσεις που σχετίζονται με την αποδοτική, δίκαιη και </w:t>
            </w:r>
            <w:r>
              <w:rPr>
                <w:sz w:val="22"/>
                <w:szCs w:val="20"/>
              </w:rPr>
              <w:t xml:space="preserve">βιώσιμη χρήση του νερού σε διαφορετικά π</w:t>
            </w:r>
            <w:r>
              <w:rPr>
                <w:sz w:val="22"/>
                <w:szCs w:val="20"/>
              </w:rPr>
              <w:t xml:space="preserve">λαίσια, είτε πραγματικά είτε προσομοιωμένα, χρησιμοποιώντας τις απαραίτητες οικονομικές και χρηματοοικονομικές γνώσεις. Αυτό περιλαμβάνει μια κριτική εκτίμηση του οικονομικού προβλήματος της σπανιότητας των πόρων και της ανάγκης για επιλογή, καθώς και την </w:t>
            </w:r>
            <w:r>
              <w:rPr>
                <w:sz w:val="22"/>
                <w:szCs w:val="20"/>
              </w:rPr>
              <w:t xml:space="preserve">κατανόηση των αρχών της κοινωνικής αλληλεπίδρασης από οικονομική άποψη. Με την ενσωμάτωση αυτών των δεξιοτήτων, θα ενισχυθεί η ικανότητα υπολογισμού και ερμηνείας του υδατικού αποτυπώματος, προωθώντας τη βιώσιμη λήψη αποφάσεων ενόψει των </w:t>
            </w:r>
            <w:r>
              <w:rPr>
                <w:sz w:val="22"/>
                <w:szCs w:val="20"/>
              </w:rPr>
              <w:t xml:space="preserve">προκλήσεων </w:t>
            </w:r>
            <w:r>
              <w:rPr>
                <w:sz w:val="22"/>
                <w:szCs w:val="20"/>
              </w:rPr>
              <w:t xml:space="preserve">που σχετίζονται με το περιβάλλον και </w:t>
            </w:r>
            <w:r>
              <w:rPr>
                <w:sz w:val="22"/>
                <w:szCs w:val="20"/>
              </w:rPr>
              <w:t xml:space="preserve">τη διαχείριση των πόρων.</w:t>
            </w:r>
            <w:r>
              <w:rPr>
                <w:sz w:val="22"/>
                <w:szCs w:val="20"/>
              </w:rPr>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Ομαδική εργασία</w:t>
            </w:r>
            <w:r>
              <w:rPr>
                <w:sz w:val="18"/>
                <w:szCs w:val="18"/>
              </w:rPr>
              <w:t xml:space="preserve"> 4-6 ατόμων</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2</w:t>
            </w:r>
            <w:r>
              <w:rPr>
                <w:sz w:val="18"/>
                <w:szCs w:val="18"/>
              </w:rPr>
            </w:r>
          </w:p>
        </w:tc>
      </w:tr>
      <w:tr>
        <w:trPr>
          <w:jc w:val="center"/>
        </w:trPr>
        <w:tc>
          <w:tcPr>
            <w:tcBorders/>
            <w:tcW w:w="279" w:type="dxa"/>
            <w:textDirection w:val="lrTb"/>
            <w:noWrap w:val="false"/>
          </w:tcPr>
          <w:p>
            <w:pPr>
              <w:pBdr/>
              <w:tabs>
                <w:tab w:val="left" w:leader="none" w:pos="2154"/>
              </w:tabs>
              <w:spacing/>
              <w:ind/>
              <w:jc w:val="center"/>
              <w:rPr>
                <w:iCs/>
                <w:sz w:val="18"/>
                <w:szCs w:val="18"/>
              </w:rPr>
            </w:pPr>
            <w:r>
              <w:rPr>
                <w:iCs/>
                <w:sz w:val="18"/>
                <w:szCs w:val="18"/>
              </w:rPr>
              <w:t xml:space="preserve">4</w:t>
            </w:r>
            <w:r>
              <w:rPr>
                <w:iCs/>
                <w:sz w:val="18"/>
                <w:szCs w:val="18"/>
              </w:rPr>
            </w:r>
          </w:p>
        </w:tc>
        <w:tc>
          <w:tcPr>
            <w:tcBorders/>
            <w:tcW w:w="6515" w:type="dxa"/>
            <w:textDirection w:val="lrTb"/>
            <w:noWrap w:val="false"/>
          </w:tcPr>
          <w:p>
            <w:pPr>
              <w:pBdr/>
              <w:tabs>
                <w:tab w:val="left" w:leader="none" w:pos="2154"/>
              </w:tabs>
              <w:spacing/>
              <w:ind/>
              <w:rPr>
                <w:b/>
                <w:iCs/>
                <w:sz w:val="22"/>
                <w:szCs w:val="20"/>
              </w:rPr>
            </w:pPr>
            <w:r>
              <w:rPr>
                <w:b/>
                <w:iCs/>
                <w:sz w:val="22"/>
                <w:szCs w:val="20"/>
              </w:rPr>
              <w:t xml:space="preserve">Βήμα 8: Συμπέρασμα</w:t>
            </w:r>
            <w:r>
              <w:rPr>
                <w:b/>
                <w:iCs/>
                <w:sz w:val="22"/>
                <w:szCs w:val="20"/>
              </w:rPr>
            </w:r>
          </w:p>
          <w:p>
            <w:pPr>
              <w:pBdr/>
              <w:tabs>
                <w:tab w:val="left" w:leader="none" w:pos="2154"/>
              </w:tabs>
              <w:spacing/>
              <w:ind/>
              <w:rPr>
                <w:iCs/>
                <w:sz w:val="22"/>
                <w:szCs w:val="20"/>
              </w:rPr>
            </w:pPr>
            <w:r>
              <w:rPr>
                <w:iCs/>
                <w:sz w:val="22"/>
                <w:szCs w:val="20"/>
              </w:rPr>
              <w:t xml:space="preserve">Συνοψίστε τα δύο τελευταία μαθήματα με το ερώτημα: Τι νέα πράγματα μάθατε μετά το παιχνίδι Aguamod και τον υπολογισμό του υδατικού αποτυπώματος; </w:t>
            </w:r>
            <w:r>
              <w:rPr>
                <w:iCs/>
                <w:sz w:val="22"/>
                <w:szCs w:val="20"/>
              </w:rPr>
              <w:t xml:space="preserve">Από τα συμπεράσματα που θα εξαχθούν, θα οριστεί ένα άτομο που θα κρατήσει σημειώσεις και θα παρουσιάσει τα συμπεράσματα στην ομάδα.  </w:t>
            </w:r>
            <w:r>
              <w:rPr>
                <w:iCs/>
                <w:sz w:val="22"/>
                <w:szCs w:val="20"/>
              </w:rPr>
            </w:r>
          </w:p>
        </w:tc>
        <w:tc>
          <w:tcPr>
            <w:tcBorders/>
            <w:tcW w:w="936" w:type="dxa"/>
            <w:textDirection w:val="lrTb"/>
            <w:noWrap w:val="false"/>
          </w:tcPr>
          <w:p>
            <w:pPr>
              <w:pBdr/>
              <w:tabs>
                <w:tab w:val="left" w:leader="none" w:pos="2154"/>
              </w:tabs>
              <w:spacing/>
              <w:ind/>
              <w:jc w:val="left"/>
              <w:rPr>
                <w:i/>
                <w:iCs/>
                <w:sz w:val="18"/>
                <w:szCs w:val="18"/>
              </w:rPr>
            </w:pPr>
            <w:r>
              <w:rPr>
                <w:sz w:val="18"/>
                <w:szCs w:val="18"/>
              </w:rPr>
              <w:t xml:space="preserve">Ολομέλεια</w:t>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sz w:val="18"/>
                <w:szCs w:val="18"/>
              </w:rPr>
              <w:t xml:space="preserve">Παρουσίαση της τάξης σε ομάδες εργασίας</w:t>
            </w:r>
            <w:r>
              <w:rPr>
                <w:i/>
                <w:iCs/>
                <w:sz w:val="18"/>
                <w:szCs w:val="18"/>
              </w:rPr>
            </w:r>
          </w:p>
        </w:tc>
      </w:tr>
      <w:tr>
        <w:trPr>
          <w:jc w:val="center"/>
        </w:trPr>
        <w:tc>
          <w:tcPr>
            <w:tcBorders/>
            <w:tcW w:w="279" w:type="dxa"/>
            <w:textDirection w:val="lrTb"/>
            <w:noWrap w:val="false"/>
          </w:tcPr>
          <w:p>
            <w:pPr>
              <w:pBdr/>
              <w:tabs>
                <w:tab w:val="left" w:leader="none" w:pos="2154"/>
              </w:tabs>
              <w:spacing/>
              <w:ind/>
              <w:jc w:val="center"/>
              <w:rPr>
                <w:iCs/>
                <w:sz w:val="18"/>
                <w:szCs w:val="18"/>
              </w:rPr>
            </w:pPr>
            <w:r>
              <w:rPr>
                <w:iCs/>
                <w:sz w:val="18"/>
                <w:szCs w:val="18"/>
              </w:rPr>
              <w:t xml:space="preserve">4</w:t>
            </w:r>
            <w:r>
              <w:rPr>
                <w:iCs/>
                <w:sz w:val="18"/>
                <w:szCs w:val="18"/>
              </w:rPr>
            </w:r>
          </w:p>
        </w:tc>
        <w:tc>
          <w:tcPr>
            <w:tcBorders/>
            <w:tcW w:w="6515" w:type="dxa"/>
            <w:textDirection w:val="lrTb"/>
            <w:noWrap w:val="false"/>
          </w:tcPr>
          <w:p>
            <w:pPr>
              <w:pBdr/>
              <w:tabs>
                <w:tab w:val="left" w:leader="none" w:pos="2154"/>
              </w:tabs>
              <w:spacing/>
              <w:ind/>
              <w:rPr>
                <w:b/>
                <w:iCs/>
                <w:sz w:val="22"/>
                <w:szCs w:val="20"/>
              </w:rPr>
            </w:pPr>
            <w:r>
              <w:rPr>
                <w:b/>
                <w:iCs/>
                <w:sz w:val="22"/>
                <w:szCs w:val="20"/>
              </w:rPr>
              <w:t xml:space="preserve">Βήμα 9: «Λιγότερο αποτύπωμα νερού, περισσότερο μέλλον: Δέξου την πρόκληση!</w:t>
            </w:r>
            <w:r>
              <w:rPr>
                <w:b/>
                <w:iCs/>
                <w:sz w:val="22"/>
                <w:szCs w:val="20"/>
              </w:rPr>
            </w:r>
          </w:p>
          <w:p>
            <w:pPr>
              <w:pBdr/>
              <w:tabs>
                <w:tab w:val="left" w:leader="none" w:pos="2154"/>
              </w:tabs>
              <w:spacing/>
              <w:ind/>
              <w:rPr>
                <w:iCs/>
                <w:sz w:val="22"/>
                <w:szCs w:val="20"/>
              </w:rPr>
            </w:pPr>
            <w:r>
              <w:rPr>
                <w:iCs/>
                <w:sz w:val="22"/>
                <w:szCs w:val="20"/>
              </w:rPr>
              <w:t xml:space="preserve">Σε </w:t>
            </w:r>
            <w:r>
              <w:rPr>
                <w:iCs/>
                <w:sz w:val="22"/>
                <w:szCs w:val="20"/>
              </w:rPr>
              <w:t xml:space="preserve">ομάδες</w:t>
            </w:r>
            <w:r>
              <w:rPr>
                <w:iCs/>
                <w:sz w:val="22"/>
                <w:szCs w:val="20"/>
              </w:rPr>
              <w:t xml:space="preserve"> εργασίας</w:t>
            </w:r>
            <w:r>
              <w:rPr>
                <w:iCs/>
                <w:sz w:val="22"/>
                <w:szCs w:val="20"/>
              </w:rPr>
              <w:t xml:space="preserve">, </w:t>
            </w:r>
            <w:r>
              <w:rPr>
                <w:iCs/>
                <w:sz w:val="22"/>
                <w:szCs w:val="20"/>
              </w:rPr>
              <w:t xml:space="preserve">θα δημιουργήσουν ένα infographic για τη βελτίωση </w:t>
            </w:r>
            <w:r>
              <w:rPr>
                <w:iCs/>
                <w:sz w:val="22"/>
                <w:szCs w:val="20"/>
              </w:rPr>
              <w:t xml:space="preserve">της διαχείρισης</w:t>
            </w:r>
            <w:r>
              <w:rPr>
                <w:iCs/>
                <w:sz w:val="22"/>
                <w:szCs w:val="20"/>
              </w:rPr>
              <w:t xml:space="preserve"> του νερού </w:t>
            </w:r>
            <w:r>
              <w:rPr>
                <w:iCs/>
                <w:sz w:val="22"/>
                <w:szCs w:val="20"/>
              </w:rPr>
              <w:t xml:space="preserve">στο σχολικό πε</w:t>
            </w:r>
            <w:r>
              <w:rPr>
                <w:iCs/>
                <w:sz w:val="22"/>
                <w:szCs w:val="20"/>
              </w:rPr>
              <w:t xml:space="preserve">ριβάλλον. Τα πέντε πιο επιτυχημένα infographics θα προβληθούν στο σχολείο, με τον τρόπο που το σχολείο κρίνει κατάλληλο, και θα προταθούν ως προκλήσεις για το σχολείο. Η ιδέα είναι να τεθούν μικρές προκλήσεις που μπορούν να υλοποιηθούν στην καθημερινή ζωή.</w:t>
            </w:r>
            <w:r>
              <w:rPr>
                <w:iCs/>
                <w:sz w:val="22"/>
                <w:szCs w:val="20"/>
              </w:rPr>
            </w:r>
          </w:p>
        </w:tc>
        <w:tc>
          <w:tcPr>
            <w:tcBorders/>
            <w:tcW w:w="936" w:type="dxa"/>
            <w:textDirection w:val="lrTb"/>
            <w:noWrap w:val="false"/>
          </w:tcPr>
          <w:p>
            <w:pPr>
              <w:pBdr/>
              <w:tabs>
                <w:tab w:val="left" w:leader="none" w:pos="2154"/>
              </w:tabs>
              <w:spacing/>
              <w:ind/>
              <w:jc w:val="left"/>
              <w:rPr>
                <w:i/>
                <w:iCs/>
                <w:sz w:val="18"/>
                <w:szCs w:val="18"/>
              </w:rPr>
            </w:pP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r>
            <w:r>
              <w:rPr>
                <w:i/>
                <w:iCs/>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b/>
          <w:bCs/>
          <w:sz w:val="28"/>
          <w:szCs w:val="24"/>
        </w:rPr>
      </w:pPr>
      <w:r>
        <w:rPr>
          <w:b/>
          <w:bCs/>
          <w:sz w:val="28"/>
          <w:szCs w:val="24"/>
        </w:rPr>
        <w:br w:type="page" w:clear="all"/>
      </w:r>
      <w:r>
        <w:rPr>
          <w:b/>
          <w:bCs/>
          <w:sz w:val="28"/>
          <w:szCs w:val="24"/>
        </w:rPr>
      </w:r>
    </w:p>
    <w:p>
      <w:pPr>
        <w:pBdr/>
        <w:tabs>
          <w:tab w:val="left" w:leader="none" w:pos="2154"/>
        </w:tabs>
        <w:spacing/>
        <w:ind/>
        <w:rPr>
          <w:sz w:val="28"/>
          <w:szCs w:val="24"/>
        </w:rPr>
      </w:pPr>
      <w:r>
        <w:rPr>
          <w:b/>
          <w:bCs/>
          <w:sz w:val="28"/>
          <w:szCs w:val="24"/>
        </w:rPr>
        <w:t xml:space="preserve">Αντιγράψτε τα πρότυπα</w:t>
      </w:r>
      <w:r>
        <w:rPr>
          <w:sz w:val="28"/>
          <w:szCs w:val="24"/>
        </w:rPr>
        <w:t xml:space="preserve">: </w:t>
      </w:r>
      <w:r>
        <w:rPr>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1 – </w:t>
      </w:r>
      <w:r>
        <w:rPr>
          <w:b/>
          <w:bCs/>
          <w:color w:val="01c172" w:themeColor="accent4" w:themeShade="BF"/>
          <w:sz w:val="28"/>
          <w:szCs w:val="24"/>
        </w:rPr>
        <w:t xml:space="preserve">Πίνακας ομάδων</w:t>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lang w:val="gl-ES" w:eastAsia="gl-ES"/>
        </w:rPr>
        <mc:AlternateContent>
          <mc:Choice Requires="wpg">
            <w:drawing>
              <wp:inline xmlns:wp="http://schemas.openxmlformats.org/drawingml/2006/wordprocessingDrawing" distT="0" distB="0" distL="0" distR="0">
                <wp:extent cx="4984750" cy="2774950"/>
                <wp:effectExtent l="0" t="0" r="6350" b="635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22"/>
                        <a:srcRect l="8013" t="11585" r="8119" b="5412"/>
                        <a:stretch/>
                      </pic:blipFill>
                      <pic:spPr bwMode="auto">
                        <a:xfrm>
                          <a:off x="0" y="0"/>
                          <a:ext cx="4984750" cy="2774950"/>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92.50pt;height:218.50pt;mso-wrap-distance-left:0.00pt;mso-wrap-distance-top:0.00pt;mso-wrap-distance-right:0.00pt;mso-wrap-distance-bottom:0.00pt;z-index:1;" stroked="f">
                <v:imagedata r:id="rId22" o:title="" croptop="7592f" cropleft="5251f" cropbottom="3547f" cropright="5321f"/>
                <o:lock v:ext="edit" rotation="t"/>
              </v:shape>
            </w:pict>
          </mc:Fallback>
        </mc:AlternateContent>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lang w:val="gl-ES" w:eastAsia="gl-ES"/>
        </w:rPr>
        <mc:AlternateContent>
          <mc:Choice Requires="wpg">
            <w:drawing>
              <wp:inline xmlns:wp="http://schemas.openxmlformats.org/drawingml/2006/wordprocessingDrawing" distT="0" distB="0" distL="0" distR="0">
                <wp:extent cx="4978400" cy="2806700"/>
                <wp:effectExtent l="0" t="0" r="0" b="0"/>
                <wp:docPr id="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23"/>
                        <a:srcRect l="7906" t="10731" r="8331" b="5317"/>
                        <a:stretch/>
                      </pic:blipFill>
                      <pic:spPr bwMode="auto">
                        <a:xfrm>
                          <a:off x="0" y="0"/>
                          <a:ext cx="4978400" cy="2806700"/>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92.00pt;height:221.00pt;mso-wrap-distance-left:0.00pt;mso-wrap-distance-top:0.00pt;mso-wrap-distance-right:0.00pt;mso-wrap-distance-bottom:0.00pt;z-index:1;" stroked="f">
                <v:imagedata r:id="rId23" o:title="" croptop="7033f" cropleft="5181f" cropbottom="3485f" cropright="5460f"/>
                <o:lock v:ext="edit" rotation="t"/>
              </v:shape>
            </w:pict>
          </mc:Fallback>
        </mc:AlternateContent>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sz w:val="22"/>
          <w:szCs w:val="20"/>
        </w:rPr>
      </w:pPr>
      <w:r>
        <w:rPr>
          <w:b/>
          <w:bCs/>
          <w:color w:val="01c172" w:themeColor="accent4" w:themeShade="BF"/>
          <w:sz w:val="28"/>
          <w:szCs w:val="24"/>
        </w:rPr>
        <w:t xml:space="preserve">Παρουσίαση Canva: </w:t>
      </w:r>
      <w:hyperlink r:id="rId24" w:tooltip="https://www.canva.com/design/DAGbtPTctpY/4a-eV-IsAi-ZqewDUjntbA/edit?utm_content=DAGbtPTctpY&amp;utm_campaign=designshare&amp;utm_medium=link2&amp;utm_source=sharebutton" w:history="1">
        <w:r>
          <w:rPr>
            <w:rStyle w:val="1007"/>
            <w:b/>
            <w:bCs/>
            <w:sz w:val="22"/>
            <w:szCs w:val="20"/>
          </w:rPr>
          <w:t xml:space="preserve">https://www.canva.com/design/DAGbtPTctpY/4a-eV-IsAi-ZqewDUjntbA/edit?utm_content=DAGbtPTctpY&amp;amp;utm_campaign=designshare&amp;amp;utm_medium=link2&amp;amp;utm_source=sharebutton</w:t>
        </w:r>
      </w:hyperlink>
      <w:r/>
      <w:r>
        <w:rPr>
          <w:b/>
          <w:bCs/>
          <w:sz w:val="22"/>
          <w:szCs w:val="20"/>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    </w:t>
      </w:r>
      <w:r>
        <w:rPr>
          <w:b/>
          <w:bCs/>
          <w:color w:val="01c172" w:themeColor="accent4" w:themeShade="BF"/>
          <w:sz w:val="28"/>
          <w:szCs w:val="24"/>
        </w:rPr>
        <w:t xml:space="preserve">Υλικό 2_ </w:t>
      </w:r>
      <w:r>
        <w:rPr>
          <w:b/>
          <w:bCs/>
          <w:color w:val="01c172" w:themeColor="accent4" w:themeShade="BF"/>
          <w:sz w:val="28"/>
          <w:szCs w:val="24"/>
        </w:rPr>
        <w:t xml:space="preserve">Παιχνίδι για το υδατικό αποτύπωμα για μαθητές</w:t>
      </w:r>
      <w:r>
        <w:rPr>
          <w:b/>
          <w:bCs/>
          <w:color w:val="01c172" w:themeColor="accent4" w:themeShade="BF"/>
          <w:sz w:val="28"/>
          <w:szCs w:val="24"/>
        </w:rPr>
      </w:r>
    </w:p>
    <w:p>
      <w:pPr>
        <w:pBdr/>
        <w:shd w:val="clear" w:color="auto" w:fill="ffffff"/>
        <w:spacing w:after="0" w:line="360" w:lineRule="auto"/>
        <w:ind w:left="-720"/>
        <w:jc w:val="left"/>
        <w:rPr>
          <w:b/>
          <w:bCs/>
          <w:sz w:val="22"/>
          <w:szCs w:val="20"/>
        </w:rPr>
      </w:pPr>
      <w:r>
        <w:rPr>
          <w:b/>
          <w:bCs/>
          <w:sz w:val="22"/>
          <w:szCs w:val="20"/>
        </w:rPr>
        <w:t xml:space="preserve">Βήματα για το παιχνίδι:</w:t>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1. Σύμφωνα με την κατανομή των ομάδων που έχει ήδη γίνει παραπάνω, κάθε ομάδα πρέπει να «αγοράσει» ένα γεύμα </w:t>
      </w:r>
      <w:r>
        <w:rPr>
          <w:b/>
          <w:bCs/>
          <w:sz w:val="22"/>
          <w:szCs w:val="20"/>
        </w:rPr>
        <w:t xml:space="preserve">και ένα επιδόρπιο από ένα βιβλίο συνταγών.</w:t>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Προϋπόθεση: Επιλέξτε κάτι νόστιμο, αλλά βελτιστοποιήστε το συνολικό υδατικό αποτύπωμα των συστατικών.</w:t>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2. Περιήγηση στο «κατάστημα»: Τα προϊόντα που χρειάζονται για τις συνταγές θα είναι διαθέσιμα στο κατάστημα. Κάθε προϊόν θα έχει μια ετικέτα που θα αναγράφει το αποτύπωμα νερού σε λίτρα (ποσότητα </w:t>
      </w:r>
      <w:r>
        <w:rPr>
          <w:b/>
          <w:bCs/>
          <w:sz w:val="22"/>
          <w:szCs w:val="20"/>
        </w:rPr>
        <w:t xml:space="preserve">νερού που χρησιμοποιήθηκε κατά την παραγωγή).</w:t>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3. Αγορά προϊόντων: Οι ομάδες επιλέγουν τα απαραίτητα συστατικά και τα τοποθετούν στο </w:t>
      </w:r>
      <w:r>
        <w:rPr>
          <w:b/>
          <w:bCs/>
          <w:sz w:val="22"/>
          <w:szCs w:val="20"/>
        </w:rPr>
        <w:t xml:space="preserve">«καλάθι»</w:t>
      </w:r>
      <w:r>
        <w:rPr>
          <w:b/>
          <w:bCs/>
          <w:sz w:val="22"/>
          <w:szCs w:val="20"/>
        </w:rPr>
        <w:t xml:space="preserve"> τους</w:t>
      </w:r>
      <w:r>
        <w:rPr>
          <w:b/>
          <w:bCs/>
          <w:sz w:val="22"/>
          <w:szCs w:val="20"/>
        </w:rPr>
        <w:t xml:space="preserve">.</w:t>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4. Πέρασμα από το κουτί: Κάθε ομάδα περνάει από το «κουτί» (που αντιπροσωπεύεται από τον εκπαιδευτή).</w:t>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Ο εκπαιδευτής αθροίζει το αποτύπωμα νερού των επιλεγμένων </w:t>
      </w:r>
      <w:r>
        <w:rPr>
          <w:b/>
          <w:bCs/>
          <w:sz w:val="22"/>
          <w:szCs w:val="20"/>
        </w:rPr>
        <w:t xml:space="preserve">συστατικών και τους δίνει το συνολικό αποτέλεσμα.</w:t>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5. Νικητής: Η ομάδα με το γεύμα (συμπεριλαμβανομένου του επιδόρπιου) με το χαμηλότερο συνολικό αποτύπωμα νερού είναι η νικήτρια.</w:t>
      </w:r>
      <w:r>
        <w:rPr>
          <w:b/>
          <w:bCs/>
          <w:sz w:val="22"/>
          <w:szCs w:val="20"/>
        </w:rPr>
      </w:r>
    </w:p>
    <w:p>
      <w:pPr>
        <w:pBdr/>
        <w:shd w:val="clear" w:color="auto" w:fill="ffffff"/>
        <w:spacing w:after="0" w:line="360" w:lineRule="auto"/>
        <w:ind w:left="-720"/>
        <w:jc w:val="left"/>
        <w:rPr>
          <w:b/>
          <w:bCs/>
          <w:sz w:val="22"/>
          <w:szCs w:val="20"/>
        </w:rPr>
      </w:pPr>
      <w:r>
        <w:rPr>
          <w:b/>
          <w:bCs/>
          <w:sz w:val="22"/>
          <w:szCs w:val="20"/>
        </w:rPr>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Πηγή: </w:t>
      </w:r>
      <w:hyperlink r:id="rId25" w:tooltip="https://www.waterfootprint.org/resources-explained/school-resources/" w:history="1">
        <w:r>
          <w:rPr>
            <w:rStyle w:val="1007"/>
            <w:b/>
            <w:bCs/>
            <w:sz w:val="22"/>
            <w:szCs w:val="20"/>
          </w:rPr>
          <w:t xml:space="preserve">https://www.waterfootprint.org/resources-explained/school-resources/</w:t>
        </w:r>
      </w:hyperlink>
      <w:r/>
      <w:r>
        <w:rPr>
          <w:b/>
          <w:bCs/>
          <w:sz w:val="22"/>
          <w:szCs w:val="20"/>
        </w:rPr>
      </w:r>
    </w:p>
    <w:p>
      <w:pPr>
        <w:pBdr/>
        <w:shd w:val="clear" w:color="auto" w:fill="ffffff"/>
        <w:spacing w:after="0" w:line="360" w:lineRule="auto"/>
        <w:ind w:left="-720"/>
        <w:jc w:val="left"/>
        <w:rPr>
          <w:b/>
          <w:bCs/>
          <w:sz w:val="22"/>
          <w:szCs w:val="20"/>
        </w:rPr>
      </w:pPr>
      <w:r>
        <w:rPr>
          <w:b/>
          <w:bCs/>
          <w:sz w:val="22"/>
          <w:szCs w:val="20"/>
        </w:rPr>
        <w:t xml:space="preserve">Για περισσότερες πληροφορίες και υλικό: </w:t>
      </w:r>
      <w:r>
        <w:rPr>
          <w:b/>
          <w:bCs/>
          <w:sz w:val="22"/>
          <w:szCs w:val="20"/>
        </w:rPr>
      </w:r>
    </w:p>
    <w:p>
      <w:pPr>
        <w:pBdr/>
        <w:shd w:val="clear" w:color="auto" w:fill="ffffff"/>
        <w:spacing w:after="0" w:line="360" w:lineRule="auto"/>
        <w:ind w:left="-720"/>
        <w:jc w:val="left"/>
        <w:rPr>
          <w:rFonts w:eastAsia="Times New Roman" w:cs="Times New Roman"/>
          <w:color w:val="301948"/>
          <w:szCs w:val="24"/>
          <w:lang w:val="gl-ES" w:eastAsia="gl-ES"/>
        </w:rPr>
      </w:pPr>
      <w:r>
        <w:rPr>
          <w:b/>
          <w:bCs/>
          <w:sz w:val="22"/>
          <w:szCs w:val="20"/>
        </w:rPr>
        <w:t xml:space="preserve">Επεξήγηση του παιχνιδιού </w:t>
      </w:r>
      <w:r>
        <w:rPr>
          <w:b/>
          <w:bCs/>
          <w:sz w:val="22"/>
          <w:szCs w:val="20"/>
        </w:rPr>
        <w:t xml:space="preserve">για εκπαιδευτικούς</w:t>
      </w:r>
      <w:r>
        <w:rPr>
          <w:b/>
          <w:bCs/>
          <w:sz w:val="22"/>
          <w:szCs w:val="20"/>
        </w:rPr>
        <w:t xml:space="preserve">:  </w:t>
      </w:r>
      <w:hyperlink r:id="rId26" w:tooltip="https://www.waterfootprint.org/resources/schoolresources/Explanation_Water_Footprint_Game_for_the_instructor.pdf" w:history="1">
        <w:r>
          <w:rPr>
            <w:rFonts w:eastAsia="Times New Roman" w:cs="Times New Roman"/>
            <w:i/>
            <w:iCs/>
            <w:color w:val="009bd1"/>
            <w:szCs w:val="24"/>
            <w:u w:val="single"/>
            <w:lang w:val="gl-ES" w:eastAsia="gl-ES"/>
          </w:rPr>
          <w:t xml:space="preserve">Αγγλικά </w:t>
        </w:r>
      </w:hyperlink>
      <w:r/>
      <w:hyperlink r:id="rId27" w:tooltip="https://www.waterfootprint.org/resources/schoolresources/Erlaeuterungen_Water_Footprint_Game_fuer_Spielleitung.pdf" w:history="1">
        <w:r>
          <w:rPr>
            <w:rFonts w:eastAsia="Times New Roman" w:cs="Times New Roman"/>
            <w:i/>
            <w:iCs/>
            <w:color w:val="009bd1"/>
            <w:szCs w:val="24"/>
            <w:u w:val="single"/>
            <w:lang w:val="gl-ES" w:eastAsia="gl-ES"/>
          </w:rPr>
          <w:t xml:space="preserve">Γερμανικά </w:t>
        </w:r>
      </w:hyperlink>
      <w:r/>
      <w:hyperlink r:id="rId28" w:tooltip="https://www.waterfootprint.org/resources/schoolresources/Uitleg_Water_Footprint_Spel_ten_behoeve_van_de_instructeur.pdf" w:history="1">
        <w:r>
          <w:rPr>
            <w:rFonts w:eastAsia="Times New Roman" w:cs="Times New Roman"/>
            <w:i/>
            <w:iCs/>
            <w:color w:val="009bd1"/>
            <w:szCs w:val="24"/>
            <w:u w:val="single"/>
            <w:lang w:val="gl-ES" w:eastAsia="gl-ES"/>
          </w:rPr>
          <w:t xml:space="preserve">Ολλανδικά</w:t>
        </w:r>
      </w:hyperlink>
      <w:r/>
      <w:r>
        <w:rPr>
          <w:rFonts w:eastAsia="Times New Roman" w:cs="Times New Roman"/>
          <w:color w:val="301948"/>
          <w:szCs w:val="24"/>
          <w:lang w:val="gl-ES" w:eastAsia="gl-ES"/>
        </w:rPr>
      </w:r>
    </w:p>
    <w:p>
      <w:pPr>
        <w:pBdr/>
        <w:shd w:val="clear" w:color="auto" w:fill="ffffff"/>
        <w:spacing w:after="0" w:line="360" w:lineRule="auto"/>
        <w:ind w:left="-720"/>
        <w:jc w:val="left"/>
        <w:rPr>
          <w:rFonts w:eastAsia="Times New Roman" w:cs="Times New Roman"/>
          <w:color w:val="301948"/>
          <w:szCs w:val="24"/>
          <w:lang w:val="gl-ES" w:eastAsia="gl-ES"/>
        </w:rPr>
      </w:pPr>
      <w:r>
        <w:rPr>
          <w:b/>
          <w:bCs/>
          <w:sz w:val="22"/>
          <w:szCs w:val="20"/>
        </w:rPr>
        <w:t xml:space="preserve">Το παιχνίδι απαιτεί τον ακόλουθο κατάλογο προϊόντων:</w:t>
      </w:r>
      <w:r>
        <w:rPr>
          <w:rFonts w:eastAsia="Times New Roman" w:cs="Times New Roman"/>
          <w:color w:val="301948"/>
          <w:szCs w:val="24"/>
          <w:lang w:val="gl-ES" w:eastAsia="gl-ES"/>
        </w:rPr>
        <w:t xml:space="preserve">  </w:t>
      </w:r>
      <w:hyperlink r:id="rId29" w:tooltip="https://www.waterfootprint.org/resources/schoolresources/Products.pdf" w:history="1">
        <w:r>
          <w:rPr>
            <w:rFonts w:eastAsia="Times New Roman" w:cs="Times New Roman"/>
            <w:i/>
            <w:iCs/>
            <w:color w:val="009bd1"/>
            <w:szCs w:val="24"/>
            <w:u w:val="single"/>
            <w:lang w:val="gl-ES" w:eastAsia="gl-ES"/>
          </w:rPr>
          <w:t xml:space="preserve"> Αγγλικά </w:t>
        </w:r>
      </w:hyperlink>
      <w:r/>
      <w:hyperlink r:id="rId30" w:tooltip="https://www.waterfootprint.org/resources/schoolresources/Zutaten.pdf" w:history="1">
        <w:r>
          <w:rPr>
            <w:rFonts w:eastAsia="Times New Roman" w:cs="Times New Roman"/>
            <w:i/>
            <w:iCs/>
            <w:color w:val="009bd1"/>
            <w:szCs w:val="24"/>
            <w:u w:val="single"/>
            <w:lang w:val="gl-ES" w:eastAsia="gl-ES"/>
          </w:rPr>
          <w:t xml:space="preserve">Γερμανικά </w:t>
        </w:r>
      </w:hyperlink>
      <w:r/>
      <w:hyperlink r:id="rId31" w:tooltip="https://www.waterfootprint.org/resources/schoolresources/Producten.pdf" w:history="1">
        <w:r>
          <w:rPr>
            <w:rFonts w:eastAsia="Times New Roman" w:cs="Times New Roman"/>
            <w:i/>
            <w:iCs/>
            <w:color w:val="009bd1"/>
            <w:szCs w:val="24"/>
            <w:u w:val="single"/>
            <w:lang w:val="gl-ES" w:eastAsia="gl-ES"/>
          </w:rPr>
          <w:t xml:space="preserve">Ολλανδικά</w:t>
        </w:r>
      </w:hyperlink>
      <w:r/>
      <w:r>
        <w:rPr>
          <w:rFonts w:eastAsia="Times New Roman" w:cs="Times New Roman"/>
          <w:color w:val="301948"/>
          <w:szCs w:val="24"/>
          <w:lang w:val="gl-ES" w:eastAsia="gl-ES"/>
        </w:rPr>
      </w:r>
    </w:p>
    <w:p>
      <w:pPr>
        <w:pBdr/>
        <w:shd w:val="clear" w:color="auto" w:fill="ffffff"/>
        <w:spacing w:after="0" w:line="360" w:lineRule="auto"/>
        <w:ind w:left="-720"/>
        <w:jc w:val="left"/>
        <w:rPr>
          <w:rFonts w:eastAsia="Times New Roman" w:cs="Times New Roman"/>
          <w:color w:val="301948"/>
          <w:szCs w:val="24"/>
          <w:lang w:val="gl-ES" w:eastAsia="gl-ES"/>
        </w:rPr>
      </w:pPr>
      <w:r>
        <w:rPr>
          <w:b/>
          <w:bCs/>
          <w:sz w:val="22"/>
          <w:szCs w:val="20"/>
        </w:rPr>
        <w:t xml:space="preserve">Το παιχνίδι απαιτεί αυτό το βιβλίο συνταγών:</w:t>
      </w:r>
      <w:r>
        <w:rPr>
          <w:rFonts w:eastAsia="Times New Roman" w:cs="Times New Roman"/>
          <w:color w:val="301948"/>
          <w:szCs w:val="24"/>
          <w:lang w:val="gl-ES" w:eastAsia="gl-ES"/>
        </w:rPr>
        <w:t xml:space="preserve">  </w:t>
      </w:r>
      <w:hyperlink r:id="rId32" w:tooltip="https://www.waterfootprint.org/resources/schoolresources/Recipe_book.pdf" w:history="1">
        <w:r>
          <w:rPr>
            <w:rFonts w:eastAsia="Times New Roman" w:cs="Times New Roman"/>
            <w:i/>
            <w:iCs/>
            <w:color w:val="009bd1"/>
            <w:szCs w:val="24"/>
            <w:u w:val="single"/>
            <w:lang w:val="gl-ES" w:eastAsia="gl-ES"/>
          </w:rPr>
          <w:t xml:space="preserve"> Αγγλικά </w:t>
        </w:r>
      </w:hyperlink>
      <w:r/>
      <w:hyperlink r:id="rId33" w:tooltip="https://www.waterfootprint.org/resources/schoolresources/Kochbuch.pdf" w:history="1">
        <w:r>
          <w:rPr>
            <w:rFonts w:eastAsia="Times New Roman" w:cs="Times New Roman"/>
            <w:i/>
            <w:iCs/>
            <w:color w:val="009bd1"/>
            <w:szCs w:val="24"/>
            <w:u w:val="single"/>
            <w:lang w:val="gl-ES" w:eastAsia="gl-ES"/>
          </w:rPr>
          <w:t xml:space="preserve">Γερμανικά </w:t>
        </w:r>
      </w:hyperlink>
      <w:r/>
      <w:hyperlink r:id="rId34" w:tooltip="https://www.waterfootprint.org/resources/schoolresources/Gerechtenboekje.pdf" w:history="1">
        <w:r>
          <w:rPr>
            <w:rFonts w:eastAsia="Times New Roman" w:cs="Times New Roman"/>
            <w:i/>
            <w:iCs/>
            <w:color w:val="009bd1"/>
            <w:szCs w:val="24"/>
            <w:u w:val="single"/>
            <w:lang w:val="gl-ES" w:eastAsia="gl-ES"/>
          </w:rPr>
          <w:t xml:space="preserve">Ολλανδικά</w:t>
        </w:r>
      </w:hyperlink>
      <w:r/>
      <w:r>
        <w:rPr>
          <w:rFonts w:eastAsia="Times New Roman" w:cs="Times New Roman"/>
          <w:color w:val="301948"/>
          <w:szCs w:val="24"/>
          <w:lang w:val="gl-ES" w:eastAsia="gl-ES"/>
        </w:rPr>
      </w:r>
    </w:p>
    <w:p>
      <w:pPr>
        <w:pBdr/>
        <w:tabs>
          <w:tab w:val="left" w:leader="none" w:pos="2154"/>
        </w:tabs>
        <w:spacing w:line="360" w:lineRule="auto"/>
        <w:ind/>
        <w:jc w:val="left"/>
        <w:rPr/>
      </w:pPr>
      <w:r/>
      <w:r/>
    </w:p>
    <w:p>
      <w:pPr>
        <w:pBdr/>
        <w:tabs>
          <w:tab w:val="left" w:leader="none" w:pos="2154"/>
        </w:tabs>
        <w:spacing/>
        <w:ind/>
        <w:rPr/>
      </w:pPr>
      <w:r/>
      <w:r/>
    </w:p>
    <w:p>
      <w:pPr>
        <w:pBdr/>
        <w:spacing/>
        <w:ind/>
        <w:jc w:val="left"/>
        <w:rPr>
          <w:b/>
          <w:bCs/>
          <w:sz w:val="28"/>
          <w:szCs w:val="24"/>
        </w:rPr>
      </w:pPr>
      <w:r>
        <w:rPr>
          <w:b/>
          <w:bCs/>
          <w:sz w:val="28"/>
          <w:szCs w:val="24"/>
        </w:rPr>
        <w:br w:type="page" w:clear="all"/>
      </w:r>
      <w:r>
        <w:rPr>
          <w:b/>
          <w:bCs/>
          <w:sz w:val="28"/>
          <w:szCs w:val="24"/>
        </w:rPr>
      </w:r>
    </w:p>
    <w:p>
      <w:pPr>
        <w:pBdr/>
        <w:tabs>
          <w:tab w:val="left" w:leader="none" w:pos="2154"/>
        </w:tabs>
        <w:spacing/>
        <w:ind/>
        <w:rPr>
          <w:sz w:val="20"/>
          <w:szCs w:val="18"/>
        </w:rPr>
      </w:pPr>
      <w:r>
        <w:rPr>
          <w:b/>
          <w:bCs/>
          <w:sz w:val="20"/>
          <w:szCs w:val="18"/>
        </w:rPr>
        <w:t xml:space="preserve">Παράρτημα – Ανάλυση παιχνιδιού</w:t>
      </w:r>
      <w:r>
        <w:rPr>
          <w:sz w:val="20"/>
          <w:szCs w:val="18"/>
        </w:rPr>
        <w:t xml:space="preserve">: </w:t>
      </w:r>
      <w:bookmarkStart w:id="2" w:name="_GoBack"/>
      <w:r/>
      <w:bookmarkEnd w:id="2"/>
      <w:r/>
      <w:r>
        <w:rPr>
          <w:sz w:val="20"/>
          <w:szCs w:val="18"/>
        </w:rPr>
      </w:r>
    </w:p>
    <w:p>
      <w:pPr>
        <w:pStyle w:val="1047"/>
        <w:pBdr/>
        <w:spacing w:line="360" w:lineRule="auto"/>
        <w:ind/>
        <w:rPr>
          <w:rFonts w:asciiTheme="minorHAnsi" w:hAnsiTheme="minorHAnsi"/>
          <w:sz w:val="20"/>
          <w:szCs w:val="20"/>
        </w:rPr>
      </w:pPr>
      <w:r>
        <w:rPr>
          <w:rStyle w:val="1046"/>
          <w:rFonts w:asciiTheme="minorHAnsi" w:hAnsiTheme="minorHAnsi"/>
          <w:sz w:val="20"/>
          <w:szCs w:val="20"/>
          <w:lang w:val="en-US"/>
        </w:rPr>
        <w:t xml:space="preserve">Το Aguamod </w:t>
      </w:r>
      <w:r>
        <w:rPr>
          <w:rFonts w:asciiTheme="minorHAnsi" w:hAnsiTheme="minorHAnsi"/>
          <w:sz w:val="20"/>
          <w:szCs w:val="20"/>
          <w:lang w:val="en-US"/>
        </w:rPr>
        <w:t xml:space="preserve">είναι ένα σοβαρό παιχνίδι που αναπτύχθηκε στο πλαίσιο του </w:t>
      </w:r>
      <w:r>
        <w:rPr>
          <w:rFonts w:asciiTheme="minorHAnsi" w:hAnsiTheme="minorHAnsi"/>
          <w:sz w:val="20"/>
          <w:szCs w:val="20"/>
          <w:lang w:val="en-US"/>
        </w:rPr>
        <w:t xml:space="preserve">προγράμματος SUDOE Interreg, το οποίο χρηματοδοτείται από την ΕΕ και εστ</w:t>
      </w:r>
      <w:r>
        <w:rPr>
          <w:rFonts w:asciiTheme="minorHAnsi" w:hAnsiTheme="minorHAnsi"/>
          <w:sz w:val="20"/>
          <w:szCs w:val="20"/>
          <w:lang w:val="en-US"/>
        </w:rPr>
        <w:t xml:space="preserve">ιάζει στη διαχείριση των υδάτινων πόρων στη Νοτιοδυτική Ευρώπη. Το παιχνίδι έχει ως στόχο να εκπαιδεύσει τους χρήστες σε πρακτικές βιώσιμης διαχείρισης των υδάτινων πόρων, προσομοιώνοντας διάφορα σενάρια που σχετίζονται με το νερό, ειδικά κατά τη διάρκεια </w:t>
      </w:r>
      <w:r>
        <w:rPr>
          <w:rFonts w:asciiTheme="minorHAnsi" w:hAnsiTheme="minorHAnsi"/>
          <w:sz w:val="20"/>
          <w:szCs w:val="20"/>
          <w:lang w:val="en-US"/>
        </w:rPr>
        <w:t xml:space="preserve">περιόδων</w:t>
      </w:r>
      <w:r>
        <w:rPr>
          <w:rFonts w:asciiTheme="minorHAnsi" w:hAnsiTheme="minorHAnsi"/>
          <w:sz w:val="20"/>
          <w:szCs w:val="20"/>
          <w:lang w:val="en-US"/>
        </w:rPr>
        <w:t xml:space="preserve"> χαμηλής στάθμης νερού ή ξηρασίας</w:t>
      </w:r>
      <w:r>
        <w:rPr>
          <w:rFonts w:asciiTheme="minorHAnsi" w:hAnsiTheme="minorHAnsi"/>
          <w:sz w:val="20"/>
          <w:szCs w:val="20"/>
          <w:lang w:val="en-US"/>
        </w:rPr>
        <w:t xml:space="preserve">. Μέσω του παιχνιδιού, οι</w:t>
      </w:r>
      <w:r>
        <w:rPr>
          <w:rFonts w:asciiTheme="minorHAnsi" w:hAnsiTheme="minorHAnsi"/>
          <w:sz w:val="20"/>
          <w:szCs w:val="20"/>
          <w:lang w:val="en-US"/>
        </w:rPr>
        <w:t xml:space="preserve"> παίκτες λαμβάνουν αποφάσεις που επηρεάζουν τη διανομή νερού για πόση, γεωργία και περιβαλλοντικές ανάγκες, συμβάλλοντας στην απεικόνιση της πολυπλοκότητας της διαχείρισης των κοινών υδάτινων πόρων σε διαφορετικά κλιματικά σενάρια και μοντέλα διακυβέρνησης</w:t>
      </w:r>
      <w:r>
        <w:rPr>
          <w:rFonts w:asciiTheme="minorHAnsi" w:hAnsiTheme="minorHAnsi"/>
          <w:sz w:val="20"/>
          <w:szCs w:val="20"/>
        </w:rPr>
      </w:r>
    </w:p>
    <w:p>
      <w:pPr>
        <w:pStyle w:val="1047"/>
        <w:pBdr/>
        <w:spacing/>
        <w:ind/>
        <w:rPr>
          <w:rFonts w:asciiTheme="minorHAnsi" w:hAnsiTheme="minorHAnsi"/>
          <w:sz w:val="20"/>
          <w:szCs w:val="20"/>
        </w:rPr>
      </w:pPr>
      <w:r>
        <w:rPr>
          <w:rStyle w:val="1038"/>
          <w:rFonts w:asciiTheme="minorHAnsi" w:hAnsiTheme="minorHAnsi"/>
          <w:sz w:val="20"/>
          <w:szCs w:val="20"/>
        </w:rPr>
        <w:t xml:space="preserve">Τα βιντεοπαιχνίδια ως μέσο επικοινωνίας</w:t>
      </w:r>
      <w:r>
        <w:rPr>
          <w:rFonts w:asciiTheme="minorHAnsi" w:hAnsiTheme="minorHAnsi"/>
          <w:sz w:val="20"/>
          <w:szCs w:val="20"/>
        </w:rPr>
      </w:r>
    </w:p>
    <w:p>
      <w:pPr>
        <w:pStyle w:val="1047"/>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λειτουργεί αποτελεσματικά ως εργαλείο επικοινωνίας, μεταφράζοντας σύνθετα, βασισμένα σε δεδομένα ζητήματα διαχείρισης των υδάτων σε διαδραστικά και κατανοητά σενάρια. Η μορφή του παιχνιδιού προσελκύει </w:t>
      </w:r>
      <w:r>
        <w:rPr>
          <w:rFonts w:asciiTheme="minorHAnsi" w:hAnsiTheme="minorHAnsi"/>
          <w:sz w:val="20"/>
          <w:szCs w:val="20"/>
        </w:rPr>
        <w:t xml:space="preserve">διαφορετικά ακροατήρια, προωθώ</w:t>
      </w:r>
      <w:r>
        <w:rPr>
          <w:rFonts w:asciiTheme="minorHAnsi" w:hAnsiTheme="minorHAnsi"/>
          <w:sz w:val="20"/>
          <w:szCs w:val="20"/>
        </w:rPr>
        <w:t xml:space="preserve">ντας την ενασχόληση με περιβαλλοντικά ζητήματα και ενθαρρύνοντας την εξερεύνηση των συμβιβασμών και των προτεραιοτήτων στη διαχείριση των υδάτινων πόρων. Συνδυάζοντας κλιματικά δεδομένα και πραγματικές συνθήκες χρήσης νερού, απλοποιεί τεχνικές έννοιες και </w:t>
      </w:r>
      <w:r>
        <w:rPr>
          <w:rFonts w:asciiTheme="minorHAnsi" w:hAnsiTheme="minorHAnsi"/>
          <w:sz w:val="20"/>
          <w:szCs w:val="20"/>
        </w:rPr>
        <w:t xml:space="preserve">προωθεί συζητήσεις σχετικά με τη βιωσιμότητα των πόρων. Ο συμμετοχικός σχεδιασμός του </w:t>
      </w:r>
      <w:r>
        <w:rPr>
          <w:rFonts w:asciiTheme="minorHAnsi" w:hAnsiTheme="minorHAnsi"/>
          <w:sz w:val="20"/>
          <w:szCs w:val="20"/>
        </w:rPr>
        <w:t xml:space="preserve">παιχνιδιού, που εμπλέκει τους παίκτες στις διαδικασίες λήψης αποφάσεων, προάγει μια ευρύτερη κατανόηση των προκλήσεων της διακυβέρνησης, καθιστώντας το ένα αποτελεσματικό μέσο τόσο για την εκπαίδευση όσο και για τον διάλογο μεταξύ των ενδιαφερόμενων μερών.</w:t>
      </w:r>
      <w:r>
        <w:rPr>
          <w:rFonts w:asciiTheme="minorHAnsi" w:hAnsiTheme="minorHAnsi"/>
          <w:sz w:val="20"/>
          <w:szCs w:val="20"/>
        </w:rPr>
      </w:r>
    </w:p>
    <w:p>
      <w:pPr>
        <w:pStyle w:val="1047"/>
        <w:pBdr/>
        <w:spacing/>
        <w:ind/>
        <w:rPr>
          <w:rFonts w:asciiTheme="minorHAnsi" w:hAnsiTheme="minorHAnsi"/>
          <w:sz w:val="20"/>
          <w:szCs w:val="20"/>
        </w:rPr>
      </w:pPr>
      <w:r>
        <w:rPr>
          <w:rStyle w:val="1038"/>
          <w:rFonts w:asciiTheme="minorHAnsi" w:hAnsiTheme="minorHAnsi"/>
          <w:sz w:val="20"/>
          <w:szCs w:val="20"/>
        </w:rPr>
        <w:t xml:space="preserve">Τα βιντεοπαιχνίδια περιέχουν αξίες</w:t>
      </w:r>
      <w:r>
        <w:rPr>
          <w:rFonts w:asciiTheme="minorHAnsi" w:hAnsiTheme="minorHAnsi"/>
          <w:sz w:val="20"/>
          <w:szCs w:val="20"/>
        </w:rPr>
      </w:r>
    </w:p>
    <w:p>
      <w:pPr>
        <w:pStyle w:val="1047"/>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μεταδίδει διάφορες βασικές αξίες μέσω του παιχνιδιού:</w:t>
      </w:r>
      <w:r>
        <w:rPr>
          <w:rFonts w:asciiTheme="minorHAnsi" w:hAnsiTheme="minorHAnsi"/>
          <w:sz w:val="20"/>
          <w:szCs w:val="20"/>
        </w:rPr>
      </w:r>
    </w:p>
    <w:p>
      <w:pPr>
        <w:pStyle w:val="1047"/>
        <w:numPr>
          <w:ilvl w:val="0"/>
          <w:numId w:val="9"/>
        </w:numPr>
        <w:pBdr/>
        <w:tabs>
          <w:tab w:val="left" w:leader="none" w:pos="0"/>
        </w:tabs>
        <w:spacing/>
        <w:ind/>
        <w:rPr>
          <w:rFonts w:asciiTheme="minorHAnsi" w:hAnsiTheme="minorHAnsi"/>
          <w:sz w:val="20"/>
          <w:szCs w:val="20"/>
        </w:rPr>
      </w:pPr>
      <w:r>
        <w:rPr>
          <w:rStyle w:val="1046"/>
          <w:rFonts w:asciiTheme="minorHAnsi" w:hAnsiTheme="minorHAnsi"/>
          <w:sz w:val="20"/>
          <w:szCs w:val="20"/>
        </w:rPr>
        <w:t xml:space="preserve">Βιωσιμότητα</w:t>
      </w:r>
      <w:r>
        <w:rPr>
          <w:rFonts w:asciiTheme="minorHAnsi" w:hAnsiTheme="minorHAnsi"/>
          <w:sz w:val="20"/>
          <w:szCs w:val="20"/>
        </w:rPr>
        <w:t xml:space="preserve">: Το παιχνίδι δίνει έμφαση στην υπεύθυνη χρήση και διατήρηση του νερού, προωθώντας τη μακροπρόθεσμη οικολογική υγεία έναντι των βραχυπρόθεσμων κερδών.</w:t>
      </w:r>
      <w:r>
        <w:rPr>
          <w:rFonts w:asciiTheme="minorHAnsi" w:hAnsiTheme="minorHAnsi"/>
          <w:sz w:val="20"/>
          <w:szCs w:val="20"/>
        </w:rPr>
      </w:r>
    </w:p>
    <w:p>
      <w:pPr>
        <w:pStyle w:val="1047"/>
        <w:numPr>
          <w:ilvl w:val="0"/>
          <w:numId w:val="9"/>
        </w:numPr>
        <w:pBdr/>
        <w:tabs>
          <w:tab w:val="left" w:leader="none" w:pos="0"/>
        </w:tabs>
        <w:spacing/>
        <w:ind/>
        <w:rPr>
          <w:rFonts w:asciiTheme="minorHAnsi" w:hAnsiTheme="minorHAnsi"/>
          <w:sz w:val="20"/>
          <w:szCs w:val="20"/>
        </w:rPr>
      </w:pPr>
      <w:r>
        <w:rPr>
          <w:rStyle w:val="1046"/>
          <w:rFonts w:asciiTheme="minorHAnsi" w:hAnsiTheme="minorHAnsi"/>
          <w:sz w:val="20"/>
          <w:szCs w:val="20"/>
        </w:rPr>
        <w:t xml:space="preserve">Συνεργασία</w:t>
      </w:r>
      <w:r>
        <w:rPr>
          <w:rFonts w:asciiTheme="minorHAnsi" w:hAnsiTheme="minorHAnsi"/>
          <w:sz w:val="20"/>
          <w:szCs w:val="20"/>
        </w:rPr>
        <w:t xml:space="preserve">: Υπογραμμίζει τη σημασία της συνεργασίας μεταξύ των ενδιαφερόμενων μερών, όπως οι υπεύθυνοι χάραξης πολιτικής, οι κοινότητες και οι βιομηχανίες, για την επίτευξη ισορροπημένης διαχείρισης των υδάτινων πόρων.</w:t>
      </w:r>
      <w:r>
        <w:rPr>
          <w:rFonts w:asciiTheme="minorHAnsi" w:hAnsiTheme="minorHAnsi"/>
          <w:sz w:val="20"/>
          <w:szCs w:val="20"/>
        </w:rPr>
      </w:r>
    </w:p>
    <w:p>
      <w:pPr>
        <w:pStyle w:val="1047"/>
        <w:numPr>
          <w:ilvl w:val="0"/>
          <w:numId w:val="9"/>
        </w:numPr>
        <w:pBdr/>
        <w:tabs>
          <w:tab w:val="left" w:leader="none" w:pos="0"/>
        </w:tabs>
        <w:spacing/>
        <w:ind/>
        <w:rPr>
          <w:rFonts w:asciiTheme="minorHAnsi" w:hAnsiTheme="minorHAnsi"/>
          <w:sz w:val="20"/>
          <w:szCs w:val="20"/>
        </w:rPr>
      </w:pPr>
      <w:r>
        <w:rPr>
          <w:rStyle w:val="1046"/>
          <w:rFonts w:asciiTheme="minorHAnsi" w:hAnsiTheme="minorHAnsi"/>
          <w:sz w:val="20"/>
          <w:szCs w:val="20"/>
        </w:rPr>
        <w:t xml:space="preserve">Προσαρμοστικότητα</w:t>
      </w:r>
      <w:r>
        <w:rPr>
          <w:rFonts w:asciiTheme="minorHAnsi" w:hAnsiTheme="minorHAnsi"/>
          <w:sz w:val="20"/>
          <w:szCs w:val="20"/>
        </w:rPr>
        <w:t xml:space="preserve">: Το Aguamod ενθαρρύνει τους παίκτες να προσαρμόζουν τις στρατηγικές τους με βάση τις διακυμάνσεις των πόρων και τις κλιματικές αλλαγές, υπογραμμίζοντας την ανθεκτικότητα στη διαχείριση του περιβάλλοντος</w:t>
      </w:r>
      <w:r>
        <w:rPr>
          <w:rFonts w:asciiTheme="minorHAnsi" w:hAnsiTheme="minorHAnsi"/>
          <w:sz w:val="20"/>
          <w:szCs w:val="20"/>
        </w:rPr>
      </w:r>
    </w:p>
    <w:p>
      <w:pPr>
        <w:pStyle w:val="1047"/>
        <w:numPr>
          <w:ilvl w:val="0"/>
          <w:numId w:val="9"/>
        </w:numPr>
        <w:pBdr/>
        <w:tabs>
          <w:tab w:val="left" w:leader="none" w:pos="0"/>
        </w:tabs>
        <w:spacing/>
        <w:ind/>
        <w:rPr>
          <w:rFonts w:asciiTheme="minorHAnsi" w:hAnsiTheme="minorHAnsi"/>
          <w:sz w:val="20"/>
          <w:szCs w:val="20"/>
        </w:rPr>
      </w:pPr>
      <w:r>
        <w:rPr>
          <w:rStyle w:val="1046"/>
          <w:rFonts w:asciiTheme="minorHAnsi" w:hAnsiTheme="minorHAnsi"/>
          <w:sz w:val="20"/>
          <w:szCs w:val="20"/>
        </w:rPr>
        <w:t xml:space="preserve">Ενημερωμένη λήψη αποφάσεων</w:t>
      </w:r>
      <w:r>
        <w:rPr>
          <w:rFonts w:asciiTheme="minorHAnsi" w:hAnsiTheme="minorHAnsi"/>
          <w:sz w:val="20"/>
          <w:szCs w:val="20"/>
        </w:rPr>
        <w:t xml:space="preserve">: Καθιστώντας τους παίκτες να αντιμετωπίζουν ρεαλιστικές συνέπειες, δίνει αξία στις επιλογές που βασίζονται σε αποδεικτικά στοιχεία, προτρέποντας τους παίκτες να λαμβάνουν εξίσου υπόψη τις περιβαλλοντικές και κοινωνικές</w:t>
      </w:r>
      <w:r>
        <w:rPr>
          <w:rFonts w:asciiTheme="minorHAnsi" w:hAnsiTheme="minorHAnsi"/>
          <w:sz w:val="20"/>
          <w:szCs w:val="20"/>
        </w:rPr>
      </w:r>
    </w:p>
    <w:p>
      <w:pPr>
        <w:pStyle w:val="1047"/>
        <w:pBdr/>
        <w:spacing/>
        <w:ind/>
        <w:rPr>
          <w:rFonts w:asciiTheme="minorHAnsi" w:hAnsiTheme="minorHAnsi"/>
          <w:sz w:val="20"/>
          <w:szCs w:val="20"/>
        </w:rPr>
      </w:pPr>
      <w:r>
        <w:rPr>
          <w:rFonts w:asciiTheme="minorHAnsi" w:hAnsiTheme="minorHAnsi"/>
          <w:sz w:val="20"/>
          <w:szCs w:val="20"/>
        </w:rPr>
        <w:t xml:space="preserve">Αυτές οι αξίες ευθυγραμμίζουν </w:t>
      </w:r>
      <w:r>
        <w:rPr>
          <w:rFonts w:asciiTheme="minorHAnsi" w:hAnsiTheme="minorHAnsi"/>
          <w:i/>
          <w:iCs/>
          <w:sz w:val="20"/>
          <w:szCs w:val="20"/>
        </w:rPr>
        <w:t xml:space="preserve">το Aguamod </w:t>
      </w:r>
      <w:r>
        <w:rPr>
          <w:rFonts w:asciiTheme="minorHAnsi" w:hAnsiTheme="minorHAnsi"/>
          <w:sz w:val="20"/>
          <w:szCs w:val="20"/>
        </w:rPr>
        <w:t xml:space="preserve">ως ένα εκπαιδευτικό και επικοινωνιακό εργαλείο που στοχεύει στην προώθηση μιας βιώσιμης, συνεργατικής και ενημερωμένης προσέγγισης στη διαχείριση των φυσικών πόρων.</w:t>
      </w:r>
      <w:r>
        <w:rPr>
          <w:rFonts w:asciiTheme="minorHAnsi" w:hAnsiTheme="minorHAnsi"/>
          <w:sz w:val="20"/>
          <w:szCs w:val="20"/>
        </w:rPr>
      </w:r>
    </w:p>
    <w:p>
      <w:pPr>
        <w:pStyle w:val="1047"/>
        <w:pBdr/>
        <w:spacing/>
        <w:ind/>
        <w:rPr>
          <w:rFonts w:asciiTheme="minorHAnsi" w:hAnsiTheme="minorHAnsi"/>
          <w:sz w:val="20"/>
          <w:szCs w:val="20"/>
        </w:rPr>
      </w:pPr>
      <w:r>
        <w:rPr>
          <w:rFonts w:asciiTheme="minorHAnsi" w:hAnsiTheme="minorHAnsi"/>
          <w:sz w:val="20"/>
          <w:szCs w:val="20"/>
        </w:rPr>
      </w:r>
      <w:r>
        <w:rPr>
          <w:rFonts w:asciiTheme="minorHAnsi" w:hAnsiTheme="minorHAnsi"/>
          <w:sz w:val="20"/>
          <w:szCs w:val="20"/>
        </w:rPr>
      </w:r>
    </w:p>
    <w:p>
      <w:pPr>
        <w:pBdr/>
        <w:spacing w:line="360" w:lineRule="auto"/>
        <w:ind/>
        <w:rPr>
          <w:sz w:val="20"/>
          <w:szCs w:val="20"/>
        </w:rPr>
      </w:pPr>
      <w:r>
        <w:rPr>
          <w:rStyle w:val="1046"/>
          <w:i/>
          <w:iCs/>
          <w:sz w:val="20"/>
          <w:szCs w:val="20"/>
          <w:lang w:val="en-US"/>
        </w:rPr>
        <w:t xml:space="preserve">Το Aguamod </w:t>
      </w:r>
      <w:r>
        <w:rPr>
          <w:sz w:val="20"/>
          <w:szCs w:val="20"/>
          <w:lang w:val="en-US"/>
        </w:rPr>
        <w:t xml:space="preserve">μπορεί να αναλυθεί χρησιμοποιώντας τις ακόλουθες κατηγορίες:</w:t>
      </w:r>
      <w:r>
        <w:rPr>
          <w:sz w:val="20"/>
          <w:szCs w:val="20"/>
        </w:rPr>
      </w:r>
    </w:p>
    <w:p>
      <w:pPr>
        <w:pStyle w:val="1047"/>
        <w:pBdr/>
        <w:spacing/>
        <w:ind/>
        <w:rPr>
          <w:rFonts w:asciiTheme="minorHAnsi" w:hAnsiTheme="minorHAnsi"/>
          <w:sz w:val="20"/>
          <w:szCs w:val="20"/>
        </w:rPr>
      </w:pPr>
      <w:r>
        <w:rPr>
          <w:rStyle w:val="1038"/>
          <w:rFonts w:asciiTheme="minorHAnsi" w:hAnsiTheme="minorHAnsi"/>
          <w:sz w:val="20"/>
          <w:szCs w:val="20"/>
        </w:rPr>
        <w:t xml:space="preserve">1. Παίξιμο</w:t>
      </w:r>
      <w:r>
        <w:rPr>
          <w:rFonts w:asciiTheme="minorHAnsi" w:hAnsiTheme="minorHAnsi"/>
          <w:sz w:val="20"/>
          <w:szCs w:val="20"/>
        </w:rPr>
      </w:r>
    </w:p>
    <w:p>
      <w:pPr>
        <w:pStyle w:val="1047"/>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είναι ένα σοβαρό παιχνί</w:t>
      </w:r>
      <w:r>
        <w:rPr>
          <w:rFonts w:asciiTheme="minorHAnsi" w:hAnsiTheme="minorHAnsi"/>
          <w:sz w:val="20"/>
          <w:szCs w:val="20"/>
        </w:rPr>
        <w:t xml:space="preserve">δι, με gameplay που επικεντρώνεται στη στρατηγική λήψη αποφάσεων γύρω από τη διαχείριση των υδάτων. Οι παίκτες προσομοιώνουν σενάρια του πραγματικού κόσμου, διαχειρίζονται πόρους σε συνθήκες ξηρασίας και εξισορροπούν τις οικολογικές και κοινωνικές ανάγκες.</w:t>
      </w:r>
      <w:r>
        <w:rPr>
          <w:rFonts w:asciiTheme="minorHAnsi" w:hAnsiTheme="minorHAnsi"/>
          <w:sz w:val="20"/>
          <w:szCs w:val="20"/>
        </w:rPr>
      </w:r>
    </w:p>
    <w:p>
      <w:pPr>
        <w:pStyle w:val="1047"/>
        <w:pBdr/>
        <w:spacing/>
        <w:ind/>
        <w:rPr>
          <w:rFonts w:asciiTheme="minorHAnsi" w:hAnsiTheme="minorHAnsi"/>
          <w:sz w:val="20"/>
          <w:szCs w:val="20"/>
        </w:rPr>
      </w:pPr>
      <w:r>
        <w:rPr>
          <w:rStyle w:val="1038"/>
          <w:rFonts w:asciiTheme="minorHAnsi" w:hAnsiTheme="minorHAnsi"/>
          <w:sz w:val="20"/>
          <w:szCs w:val="20"/>
        </w:rPr>
        <w:t xml:space="preserve">2. Χρηστικότητα</w:t>
      </w:r>
      <w:r>
        <w:rPr>
          <w:rFonts w:asciiTheme="minorHAnsi" w:hAnsiTheme="minorHAnsi"/>
          <w:sz w:val="20"/>
          <w:szCs w:val="20"/>
        </w:rPr>
      </w:r>
    </w:p>
    <w:p>
      <w:pPr>
        <w:pStyle w:val="1047"/>
        <w:pBdr/>
        <w:spacing w:after="0"/>
        <w:ind/>
        <w:rPr>
          <w:rFonts w:asciiTheme="minorHAnsi" w:hAnsiTheme="minorHAnsi"/>
          <w:sz w:val="20"/>
          <w:szCs w:val="20"/>
        </w:rPr>
      </w:pPr>
      <w:r>
        <w:rPr>
          <w:rFonts w:asciiTheme="minorHAnsi" w:hAnsiTheme="minorHAnsi"/>
          <w:sz w:val="20"/>
          <w:szCs w:val="20"/>
        </w:rPr>
        <w:t xml:space="preserve">Οι διεπαφές των παιχνιδιών προσομοίωσης τείνουν να είναι πολύπλοκες. Η </w:t>
      </w:r>
      <w:r>
        <w:rPr>
          <w:rFonts w:asciiTheme="minorHAnsi" w:hAnsiTheme="minorHAnsi"/>
          <w:sz w:val="20"/>
          <w:szCs w:val="20"/>
        </w:rPr>
        <w:t xml:space="preserve">διεπαφή </w:t>
      </w:r>
      <w:r>
        <w:rPr>
          <w:rFonts w:asciiTheme="minorHAnsi" w:hAnsiTheme="minorHAnsi"/>
          <w:i/>
          <w:iCs/>
          <w:sz w:val="20"/>
          <w:szCs w:val="20"/>
        </w:rPr>
        <w:t xml:space="preserve">του Aguamod </w:t>
      </w:r>
      <w:r>
        <w:rPr>
          <w:rFonts w:asciiTheme="minorHAnsi" w:hAnsiTheme="minorHAnsi"/>
          <w:sz w:val="20"/>
          <w:szCs w:val="20"/>
        </w:rPr>
        <w:t xml:space="preserve">έχει σχεδιαστεί ώστε να είναι διαισθητική, με οπτικά βοηθήματα και απλά χειριστήρια. Αυτό το καθιστά προσβάσιμο τόσο σε αρχάριους όσο και σε όσους είναι εξοικειωμένοι με θέματα διαχείρισης των υδάτων, υποστηρίζοντας την ομαλή πρόοδο της μάθησης.</w:t>
      </w:r>
      <w:r>
        <w:rPr>
          <w:rFonts w:asciiTheme="minorHAnsi" w:hAnsiTheme="minorHAnsi"/>
          <w:sz w:val="20"/>
          <w:szCs w:val="20"/>
        </w:rPr>
      </w:r>
    </w:p>
    <w:p>
      <w:pPr>
        <w:pStyle w:val="1047"/>
        <w:pBdr/>
        <w:spacing w:after="0"/>
        <w:ind/>
        <w:rPr>
          <w:rFonts w:asciiTheme="minorHAnsi" w:hAnsiTheme="minorHAnsi"/>
          <w:sz w:val="20"/>
          <w:szCs w:val="20"/>
        </w:rPr>
      </w:pPr>
      <w:r>
        <w:rPr>
          <w:rFonts w:asciiTheme="minorHAnsi" w:hAnsiTheme="minorHAnsi"/>
          <w:sz w:val="20"/>
          <w:szCs w:val="20"/>
        </w:rPr>
      </w:r>
      <w:r>
        <w:rPr>
          <w:rFonts w:asciiTheme="minorHAnsi" w:hAnsiTheme="minorHAnsi"/>
          <w:sz w:val="20"/>
          <w:szCs w:val="20"/>
        </w:rPr>
      </w:r>
    </w:p>
    <w:p>
      <w:pPr>
        <w:pStyle w:val="1047"/>
        <w:pBdr/>
        <w:spacing/>
        <w:ind/>
        <w:rPr>
          <w:rFonts w:asciiTheme="minorHAnsi" w:hAnsiTheme="minorHAnsi"/>
          <w:sz w:val="20"/>
          <w:szCs w:val="20"/>
        </w:rPr>
      </w:pPr>
      <w:r>
        <w:rPr>
          <w:rStyle w:val="1038"/>
          <w:rFonts w:asciiTheme="minorHAnsi" w:hAnsiTheme="minorHAnsi"/>
          <w:sz w:val="20"/>
          <w:szCs w:val="20"/>
        </w:rPr>
        <w:t xml:space="preserve">3. Ανάπτυξη περιεχομένου και δεξιοτήτων</w:t>
      </w:r>
      <w:r>
        <w:rPr>
          <w:rFonts w:asciiTheme="minorHAnsi" w:hAnsiTheme="minorHAnsi"/>
          <w:sz w:val="20"/>
          <w:szCs w:val="20"/>
        </w:rPr>
      </w:r>
    </w:p>
    <w:p>
      <w:pPr>
        <w:pStyle w:val="1047"/>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εκπαιδεύει τους χρήστες σε βιώσιμες πρακτικές, δίνοντας έμφαση στις συμβιβαστικές λύσεις στις αποφάσεις διαχείρισης των υδάτων για τη γεωργία, τη βιομηχανία και </w:t>
      </w:r>
      <w:r>
        <w:rPr>
          <w:rFonts w:asciiTheme="minorHAnsi" w:hAnsiTheme="minorHAnsi"/>
          <w:sz w:val="20"/>
          <w:szCs w:val="20"/>
        </w:rPr>
        <w:t xml:space="preserve">την υγεία του οικοσυστήματος. Τα σενάρια αντικατοπτρίζουν πραγματικά π</w:t>
      </w:r>
      <w:r>
        <w:rPr>
          <w:rFonts w:asciiTheme="minorHAnsi" w:hAnsiTheme="minorHAnsi"/>
          <w:sz w:val="20"/>
          <w:szCs w:val="20"/>
        </w:rPr>
        <w:t xml:space="preserve">ροβλήματα λειψυδρίας, βοηθώντας τους παίκτες να κατανοήσουν τους κοινωνικούς, οικονομικούς και περιβαλλοντικούς παράγοντες. Το παιχνίδι ενσωματώνει τις επιπτώσεις της κλιματικής αλλαγής στους υδάτινους πόρους, ενισχύοντας τη σημασία των βιώσιμων πρακτικών.</w:t>
      </w:r>
      <w:r>
        <w:rPr>
          <w:rFonts w:asciiTheme="minorHAnsi" w:hAnsiTheme="minorHAnsi"/>
          <w:sz w:val="20"/>
          <w:szCs w:val="20"/>
        </w:rPr>
      </w:r>
    </w:p>
    <w:tbl>
      <w:tblPr>
        <w:tblStyle w:val="1023"/>
        <w:tblW w:w="9015" w:type="dxa"/>
        <w:tblCellMar>
          <w:left w:w="103"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6A0" w:firstRow="1" w:lastRow="0" w:firstColumn="1" w:lastColumn="0" w:noHBand="1" w:noVBand="1"/>
      </w:tblPr>
      <w:tblGrid>
        <w:gridCol w:w="2740"/>
        <w:gridCol w:w="6275"/>
      </w:tblGrid>
      <w:tr>
        <w:trPr>
          <w:trHeight w:val="300"/>
        </w:trPr>
        <w:tc>
          <w:tcPr>
            <w:shd w:val="clear" w:color="auto" w:fill="e7e6e6" w:themeFill="background2"/>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b/>
                <w:bCs/>
                <w:sz w:val="20"/>
                <w:szCs w:val="20"/>
                <w:lang w:val="en-US"/>
              </w:rPr>
              <w:t xml:space="preserve">Τίτλος</w:t>
            </w:r>
            <w:r>
              <w:rPr>
                <w:sz w:val="20"/>
                <w:szCs w:val="20"/>
              </w:rPr>
            </w:r>
          </w:p>
        </w:tc>
        <w:tc>
          <w:tcPr>
            <w:shd w:val="clear" w:color="auto" w:fill="e7e6e6" w:themeFill="background2"/>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rFonts w:eastAsiaTheme="minorEastAsia"/>
                <w:b/>
                <w:bCs/>
                <w:sz w:val="20"/>
                <w:szCs w:val="20"/>
                <w:lang w:val="en-US"/>
              </w:rPr>
            </w:pPr>
            <w:r>
              <w:rPr>
                <w:rFonts w:eastAsiaTheme="minorEastAsia"/>
                <w:b/>
                <w:bCs/>
                <w:sz w:val="20"/>
                <w:szCs w:val="20"/>
                <w:lang w:val="en-US"/>
              </w:rPr>
            </w:r>
            <w:r>
              <w:rPr>
                <w:rFonts w:eastAsiaTheme="minorEastAsia"/>
                <w:b/>
                <w:bCs/>
                <w:sz w:val="20"/>
                <w:szCs w:val="20"/>
                <w:lang w:val="en-US"/>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Πλατφόρμα</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PC (Windows)</w:t>
            </w:r>
            <w:r>
              <w:rPr>
                <w:sz w:val="20"/>
                <w:szCs w:val="20"/>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Γλώσσα</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Αγγλικά, Ισπανικά, Γαλλικά και Πορτογαλικά</w:t>
            </w:r>
            <w:r>
              <w:rPr>
                <w:sz w:val="20"/>
                <w:szCs w:val="20"/>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Αριθμός συνεδριών που έχουν παιχτεί</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2</w:t>
            </w:r>
            <w:r>
              <w:rPr>
                <w:sz w:val="20"/>
                <w:szCs w:val="20"/>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Συνολικός χρόνος παιχνιδιού</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60 λεπτά </w:t>
            </w:r>
            <w:r>
              <w:rPr>
                <w:sz w:val="20"/>
                <w:szCs w:val="20"/>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Σύντομη περιγραφή</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Style w:val="1047"/>
              <w:pBdr/>
              <w:spacing w:after="0" w:line="240" w:lineRule="auto"/>
              <w:ind/>
              <w:jc w:val="left"/>
              <w:rPr>
                <w:rFonts w:asciiTheme="minorHAnsi" w:hAnsiTheme="minorHAnsi"/>
                <w:sz w:val="20"/>
                <w:szCs w:val="20"/>
              </w:rPr>
            </w:pPr>
            <w:r>
              <w:rPr>
                <w:rFonts w:asciiTheme="minorHAnsi" w:hAnsiTheme="minorHAnsi" w:eastAsiaTheme="minorEastAsia"/>
                <w:sz w:val="20"/>
                <w:szCs w:val="20"/>
                <w:lang w:val="en-US"/>
              </w:rPr>
              <w:t xml:space="preserve">Διαδραστικό σοβαρό παιχνίδι που προκαλεί τους παίκτες να διαχειριστούν τους υδάτινους πόρους με βιώσιμο τρόπο σε περιόδους έλλειψης, εξισορροπώντας τις κοινωνικές, οικονομικές και οικολογικές ανάγκες.</w:t>
            </w:r>
            <w:r>
              <w:rPr>
                <w:rFonts w:asciiTheme="minorHAnsi" w:hAnsiTheme="minorHAnsi"/>
                <w:sz w:val="20"/>
                <w:szCs w:val="20"/>
              </w:rPr>
            </w:r>
          </w:p>
        </w:tc>
      </w:tr>
    </w:tbl>
    <w:p>
      <w:pPr>
        <w:pBdr/>
        <w:spacing w:line="360" w:lineRule="auto"/>
        <w:ind/>
        <w:rPr>
          <w:sz w:val="20"/>
          <w:szCs w:val="20"/>
          <w:lang w:val="en-US"/>
        </w:rPr>
      </w:pPr>
      <w:r>
        <w:rPr>
          <w:sz w:val="20"/>
          <w:szCs w:val="20"/>
          <w:lang w:val="en-US"/>
        </w:rPr>
      </w:r>
      <w:r>
        <w:rPr>
          <w:sz w:val="20"/>
          <w:szCs w:val="20"/>
          <w:lang w:val="en-US"/>
        </w:rPr>
      </w:r>
    </w:p>
    <w:tbl>
      <w:tblPr>
        <w:tblStyle w:val="1023"/>
        <w:tblW w:w="8986" w:type="dxa"/>
        <w:tblCellMar>
          <w:left w:w="103"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6A0" w:firstRow="1" w:lastRow="0" w:firstColumn="1" w:lastColumn="0" w:noHBand="1" w:noVBand="1"/>
      </w:tblPr>
      <w:tblGrid>
        <w:gridCol w:w="1725"/>
        <w:gridCol w:w="7261"/>
      </w:tblGrid>
      <w:tr>
        <w:trPr>
          <w:trHeight w:val="300"/>
        </w:trPr>
        <w:tc>
          <w:tcPr>
            <w:shd w:val="clear" w:color="auto" w:fill="e7e6e6" w:themeFill="background2"/>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Διάσταση</w:t>
            </w:r>
            <w:r>
              <w:rPr>
                <w:sz w:val="20"/>
                <w:szCs w:val="20"/>
              </w:rPr>
            </w:r>
          </w:p>
        </w:tc>
        <w:tc>
          <w:tcPr>
            <w:shd w:val="clear" w:color="auto" w:fill="e7e6e6" w:themeFill="background2"/>
            <w:tcBorders>
              <w:top w:val="single" w:color="000000" w:sz="4" w:space="0"/>
              <w:left w:val="single" w:color="000000" w:sz="4" w:space="0"/>
              <w:bottom w:val="single" w:color="000000" w:sz="4" w:space="0"/>
              <w:right w:val="single" w:color="000000" w:sz="4" w:space="0"/>
            </w:tcBorders>
            <w:tcW w:w="7260" w:type="dxa"/>
            <w:textDirection w:val="lrTb"/>
            <w:noWrap w:val="false"/>
          </w:tcPr>
          <w:p>
            <w:pPr>
              <w:pBdr/>
              <w:spacing/>
              <w:ind/>
              <w:rPr>
                <w:sz w:val="20"/>
                <w:szCs w:val="20"/>
              </w:rPr>
            </w:pPr>
            <w:r>
              <w:rPr>
                <w:rFonts w:eastAsiaTheme="minorEastAsia"/>
                <w:b/>
                <w:bCs/>
                <w:sz w:val="20"/>
                <w:szCs w:val="20"/>
                <w:lang w:val="en-US"/>
              </w:rPr>
              <w:t xml:space="preserve">Κριτήρια αξιολόγησης</w:t>
            </w:r>
            <w:r>
              <w:rPr>
                <w:sz w:val="20"/>
                <w:szCs w:val="20"/>
              </w:rPr>
            </w:r>
          </w:p>
          <w:p>
            <w:pPr>
              <w:pBdr/>
              <w:spacing/>
              <w:ind/>
              <w:rPr>
                <w:rFonts w:eastAsiaTheme="minorEastAsia"/>
                <w:b/>
                <w:bCs/>
                <w:sz w:val="20"/>
                <w:szCs w:val="20"/>
                <w:lang w:val="en-US"/>
              </w:rPr>
            </w:pPr>
            <w:r>
              <w:rPr>
                <w:rFonts w:eastAsiaTheme="minorEastAsia"/>
                <w:b/>
                <w:bCs/>
                <w:sz w:val="20"/>
                <w:szCs w:val="20"/>
                <w:lang w:val="en-US"/>
              </w:rPr>
            </w:r>
            <w:r>
              <w:rPr>
                <w:rFonts w:eastAsiaTheme="minorEastAsia"/>
                <w:b/>
                <w:bCs/>
                <w:sz w:val="20"/>
                <w:szCs w:val="20"/>
                <w:lang w:val="en-US"/>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Χρηστικότητα</w:t>
            </w:r>
            <w:r>
              <w:rPr>
                <w:sz w:val="20"/>
                <w:szCs w:val="20"/>
              </w:rPr>
            </w:r>
          </w:p>
          <w:p>
            <w:pPr>
              <w:pBdr/>
              <w:spacing/>
              <w:ind/>
              <w:rPr>
                <w:sz w:val="20"/>
                <w:szCs w:val="20"/>
              </w:rPr>
            </w:pPr>
            <w:r>
              <w:rPr>
                <w:rFonts w:eastAsiaTheme="minorEastAsia"/>
                <w:bCs/>
                <w:sz w:val="20"/>
                <w:szCs w:val="20"/>
                <w:lang w:val="en-US"/>
              </w:rPr>
              <w:t xml:space="preserve">(ανάλυση της τεχνικής ορθότητας και της ευκολίας χρήσης)</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13"/>
              <w:numPr>
                <w:ilvl w:val="0"/>
                <w:numId w:val="7"/>
              </w:numPr>
              <w:pBdr/>
              <w:spacing/>
              <w:ind/>
              <w:jc w:val="left"/>
              <w:rPr>
                <w:sz w:val="20"/>
                <w:szCs w:val="20"/>
              </w:rPr>
            </w:pPr>
            <w:r>
              <w:rPr>
                <w:rFonts w:eastAsia="Corbel"/>
                <w:sz w:val="20"/>
                <w:szCs w:val="20"/>
              </w:rPr>
              <w:t xml:space="preserve">Είναι το παιχνίδι εύκολο να το μάθει και να το παίξει κανείς;  </w:t>
            </w:r>
            <w:r>
              <w:rPr>
                <w:sz w:val="20"/>
                <w:szCs w:val="20"/>
              </w:rPr>
            </w:r>
          </w:p>
          <w:p>
            <w:pPr>
              <w:pStyle w:val="1013"/>
              <w:pBdr/>
              <w:spacing/>
              <w:ind/>
              <w:jc w:val="left"/>
              <w:rPr>
                <w:sz w:val="20"/>
                <w:szCs w:val="20"/>
              </w:rPr>
            </w:pPr>
            <w:r>
              <w:rPr>
                <w:rFonts w:eastAsiaTheme="minorEastAsia"/>
                <w:sz w:val="20"/>
                <w:szCs w:val="20"/>
                <w:lang w:val="en-US"/>
              </w:rPr>
              <w:t xml:space="preserve">Ναι, το Aguamod έχει σχεδιαστεί για να είναι προσβάσιμο, καθιστώντας τις πολύπλοκες έννοιες της διαχείρισης των υδάτων εύκολες στην κατανόηση μέσω καθοδηγούμενου, διαδραστικού παιχνιδιού.&amp;lt;</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Είναι η διεπαφή χρήστη (χειριστήρια και πλοήγηση) σαφής και προσαρμοσμένη στο κοινό-στόχο;  </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Η διεπαφή είναι </w:t>
            </w:r>
            <w:r>
              <w:rPr>
                <w:rFonts w:asciiTheme="minorHAnsi" w:hAnsiTheme="minorHAnsi" w:eastAsiaTheme="minorEastAsia"/>
                <w:sz w:val="20"/>
                <w:szCs w:val="20"/>
                <w:lang w:val="en-US"/>
              </w:rPr>
              <w:t xml:space="preserve">γενικά διαισθητική, με οπτικά βοηθήματα π</w:t>
            </w:r>
            <w:r>
              <w:rPr>
                <w:rFonts w:asciiTheme="minorHAnsi" w:hAnsiTheme="minorHAnsi" w:eastAsiaTheme="minorEastAsia"/>
                <w:sz w:val="20"/>
                <w:szCs w:val="20"/>
                <w:lang w:val="en-US"/>
              </w:rPr>
              <w:t xml:space="preserve">ου απευθύνονται τόσο σε αρχάριους όσο και σε επαγγελματίες των περιβαλλοντικών επιστημών. Πρέπει να σημειωθεί ότι οι προσομοιωτές συνήθως απαιτούν μεγάλη ποσότητα δεδομένων για να είναι ορατοί στον χρήστη. Ως εκ τούτου, η διεπαφή τείνει να είναι περίπλοκη.</w:t>
            </w:r>
            <w:r>
              <w:rPr>
                <w:rFonts w:asciiTheme="minorHAnsi" w:hAnsiTheme="minorHAnsi"/>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Έχουν εφαρμοστεί επιλογές προσβασιμότητας;  </w:t>
            </w:r>
            <w:r>
              <w:rPr>
                <w:sz w:val="20"/>
                <w:szCs w:val="20"/>
              </w:rPr>
            </w:r>
          </w:p>
          <w:p>
            <w:pPr>
              <w:pStyle w:val="1013"/>
              <w:pBdr/>
              <w:spacing/>
              <w:ind/>
              <w:jc w:val="left"/>
              <w:rPr>
                <w:sz w:val="20"/>
                <w:szCs w:val="20"/>
              </w:rPr>
            </w:pPr>
            <w:r>
              <w:rPr>
                <w:rFonts w:eastAsiaTheme="minorEastAsia"/>
                <w:sz w:val="20"/>
                <w:szCs w:val="20"/>
                <w:lang w:val="en-US"/>
              </w:rPr>
              <w:t xml:space="preserve">Όχι, αλλά έχει φιλικό προς τον χρήστη σχεδιασμό. </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Η απόκριση του παιχνιδιού είναι ακριβής και γρήγορη;   </w:t>
            </w:r>
            <w:r>
              <w:rPr>
                <w:sz w:val="20"/>
                <w:szCs w:val="20"/>
              </w:rPr>
            </w:r>
          </w:p>
          <w:p>
            <w:pPr>
              <w:pStyle w:val="1013"/>
              <w:pBdr/>
              <w:spacing/>
              <w:ind/>
              <w:jc w:val="left"/>
              <w:rPr>
                <w:sz w:val="20"/>
                <w:szCs w:val="20"/>
              </w:rPr>
            </w:pPr>
            <w:r>
              <w:rPr>
                <w:rFonts w:eastAsiaTheme="minorEastAsia"/>
                <w:sz w:val="20"/>
                <w:szCs w:val="20"/>
                <w:lang w:val="en-US"/>
              </w:rPr>
              <w:t xml:space="preserve">Ναι, το παιχνίδι είναι ανταποκρινόμενο, επιτρέποντας στους παίκτες να λαμβάνουν γρήγορες αποφάσεις και να βλέπουν τα άμεσα αποτελέσματα των ενεργειών τους.</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Τα μηνύματα στο παιχνίδι είναι ακριβή;   </w:t>
            </w:r>
            <w:r>
              <w:rPr>
                <w:sz w:val="20"/>
                <w:szCs w:val="20"/>
              </w:rPr>
            </w:r>
          </w:p>
          <w:p>
            <w:pPr>
              <w:pStyle w:val="1013"/>
              <w:pBdr/>
              <w:spacing/>
              <w:ind/>
              <w:jc w:val="left"/>
              <w:rPr>
                <w:sz w:val="20"/>
                <w:szCs w:val="20"/>
              </w:rPr>
            </w:pPr>
            <w:r>
              <w:rPr>
                <w:rFonts w:eastAsiaTheme="minorEastAsia"/>
                <w:sz w:val="20"/>
                <w:szCs w:val="20"/>
                <w:lang w:val="en-US"/>
              </w:rPr>
              <w:t xml:space="preserve">Τα μηνύματα στο παιχνίδι είναι ακριβή και ενημερωτικά, και συνάδουν με τους εκπαιδευτικούς στόχους της Aguamod.</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Υπάρχουν οδηγίες; </w:t>
            </w:r>
            <w:r>
              <w:rPr>
                <w:sz w:val="20"/>
                <w:szCs w:val="20"/>
              </w:rPr>
            </w:r>
          </w:p>
          <w:p>
            <w:pPr>
              <w:pStyle w:val="1013"/>
              <w:pBdr/>
              <w:spacing/>
              <w:ind/>
              <w:jc w:val="left"/>
              <w:rPr>
                <w:rFonts w:eastAsiaTheme="minorEastAsia"/>
                <w:sz w:val="20"/>
                <w:szCs w:val="20"/>
              </w:rPr>
            </w:pPr>
            <w:r>
              <w:rPr>
                <w:rFonts w:eastAsiaTheme="minorEastAsia"/>
                <w:sz w:val="20"/>
                <w:szCs w:val="20"/>
                <w:lang w:val="en-US"/>
              </w:rPr>
              <w:t xml:space="preserve">Ναι, το παιχνίδι περιλαμβάνει οδηγίες που καθοδηγούν τους παίκτες στα σενάρια και τους ελέγχους με αποτελεσματικό τρόπο.</w:t>
            </w:r>
            <w:r>
              <w:rPr>
                <w:rFonts w:eastAsiaTheme="minorEastAsia"/>
                <w:sz w:val="20"/>
                <w:szCs w:val="20"/>
              </w:rPr>
            </w:r>
          </w:p>
          <w:p>
            <w:pPr>
              <w:pStyle w:val="1013"/>
              <w:pBdr/>
              <w:spacing/>
              <w:ind w:left="2880"/>
              <w:jc w:val="left"/>
              <w:rPr>
                <w:rFonts w:eastAsiaTheme="minorEastAsia"/>
                <w:sz w:val="20"/>
                <w:szCs w:val="20"/>
              </w:rPr>
            </w:pPr>
            <w:r>
              <w:rPr>
                <w:rFonts w:eastAsiaTheme="minorEastAsia"/>
                <w:sz w:val="20"/>
                <w:szCs w:val="20"/>
                <w:lang w:val="en-US"/>
              </w:rPr>
              <w:t xml:space="preserve">     -    Είναι δυνατό να αποθηκεύσετε το παιχνίδι;  </w:t>
            </w:r>
            <w:r>
              <w:rPr>
                <w:rFonts w:eastAsiaTheme="minorEastAsia"/>
                <w:sz w:val="20"/>
                <w:szCs w:val="20"/>
              </w:rPr>
            </w:r>
          </w:p>
          <w:p>
            <w:pPr>
              <w:pStyle w:val="1013"/>
              <w:pBdr/>
              <w:spacing/>
              <w:ind/>
              <w:jc w:val="left"/>
              <w:rPr>
                <w:rFonts w:eastAsiaTheme="minorEastAsia"/>
                <w:sz w:val="20"/>
                <w:szCs w:val="20"/>
              </w:rPr>
            </w:pPr>
            <w:r>
              <w:rPr>
                <w:rFonts w:eastAsiaTheme="minorEastAsia"/>
                <w:sz w:val="20"/>
                <w:szCs w:val="20"/>
                <w:lang w:val="en-US"/>
              </w:rPr>
              <w:t xml:space="preserve">Ναι, το παιχνίδι διαθέτει σύστημα αυτόματης αποθήκευσης και μπορείτε να συνεχίσετε από το σημείο που σταματήσατε.</w:t>
            </w:r>
            <w:r>
              <w:rPr>
                <w:rFonts w:eastAsiaTheme="minorEastAsia"/>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Υπάρχουν σφάλματα;  </w:t>
            </w:r>
            <w:r>
              <w:rPr>
                <w:sz w:val="20"/>
                <w:szCs w:val="20"/>
              </w:rPr>
            </w:r>
          </w:p>
          <w:p>
            <w:pPr>
              <w:pStyle w:val="1013"/>
              <w:pBdr/>
              <w:spacing/>
              <w:ind/>
              <w:jc w:val="left"/>
              <w:rPr>
                <w:sz w:val="20"/>
                <w:szCs w:val="20"/>
              </w:rPr>
            </w:pPr>
            <w:r>
              <w:rPr>
                <w:rFonts w:eastAsiaTheme="minorEastAsia"/>
                <w:sz w:val="20"/>
                <w:szCs w:val="20"/>
                <w:lang w:val="en-US"/>
              </w:rPr>
              <w:t xml:space="preserve">Όχι.</w:t>
            </w:r>
            <w:r>
              <w:rPr>
                <w:sz w:val="20"/>
                <w:szCs w:val="20"/>
              </w:rPr>
            </w:r>
          </w:p>
          <w:p>
            <w:pPr>
              <w:pStyle w:val="1013"/>
              <w:pBdr/>
              <w:spacing/>
              <w:ind w:left="360"/>
              <w:jc w:val="left"/>
              <w:rPr>
                <w:rFonts w:eastAsiaTheme="minorEastAsia"/>
                <w:sz w:val="20"/>
                <w:szCs w:val="20"/>
                <w:lang w:val="en-US"/>
              </w:rPr>
            </w:pPr>
            <w:r>
              <w:rPr>
                <w:rFonts w:eastAsiaTheme="minorEastAsia"/>
                <w:sz w:val="20"/>
                <w:szCs w:val="20"/>
                <w:lang w:val="en-US"/>
              </w:rPr>
            </w:r>
            <w:r>
              <w:rPr>
                <w:rFonts w:eastAsiaTheme="minorEastAsia"/>
                <w:sz w:val="20"/>
                <w:szCs w:val="20"/>
                <w:lang w:val="en-US"/>
              </w:rPr>
            </w:r>
          </w:p>
          <w:p>
            <w:pPr>
              <w:pStyle w:val="823"/>
              <w:keepLines w:val="false"/>
              <w:numPr>
                <w:ilvl w:val="2"/>
                <w:numId w:val="5"/>
              </w:numPr>
              <w:pBdr/>
              <w:spacing w:after="0" w:before="0"/>
              <w:ind w:left="360"/>
              <w:outlineLvl w:val="2"/>
              <w:rPr>
                <w:rFonts w:asciiTheme="minorHAnsi" w:hAnsiTheme="minorHAnsi"/>
                <w:sz w:val="20"/>
                <w:szCs w:val="20"/>
              </w:rPr>
            </w:pPr>
            <w:r/>
            <w:bookmarkStart w:id="3" w:name="__RefHeading___Toc11769_36930707311"/>
            <w:r/>
            <w:bookmarkEnd w:id="3"/>
            <w:r>
              <w:rPr>
                <w:rFonts w:asciiTheme="minorHAnsi" w:hAnsiTheme="minorHAnsi" w:eastAsiaTheme="minorEastAsia"/>
                <w:color w:val="03156c"/>
                <w:sz w:val="20"/>
                <w:szCs w:val="20"/>
                <w:lang w:val="en-US"/>
              </w:rPr>
              <w:t xml:space="preserve">Άλλα σχετικά σχόλια σχετικά με τη χρηστικότητα:</w:t>
            </w:r>
            <w:r>
              <w:rPr>
                <w:rFonts w:asciiTheme="minorHAnsi" w:hAnsiTheme="minorHAnsi"/>
                <w:sz w:val="20"/>
                <w:szCs w:val="20"/>
              </w:rPr>
            </w:r>
          </w:p>
          <w:p>
            <w:pPr>
              <w:pStyle w:val="1047"/>
              <w:pBdr/>
              <w:spacing w:after="0"/>
              <w:ind/>
              <w:rPr>
                <w:rFonts w:asciiTheme="minorHAnsi" w:hAnsiTheme="minorHAnsi"/>
                <w:sz w:val="20"/>
                <w:szCs w:val="20"/>
              </w:rPr>
            </w:pPr>
            <w:r>
              <w:rPr>
                <w:rFonts w:asciiTheme="minorHAnsi" w:hAnsiTheme="minorHAnsi"/>
                <w:sz w:val="20"/>
                <w:szCs w:val="20"/>
              </w:rPr>
              <w:t xml:space="preserve">Η χρηστικότητα </w:t>
            </w:r>
            <w:r>
              <w:rPr>
                <w:rFonts w:asciiTheme="minorHAnsi" w:hAnsiTheme="minorHAnsi"/>
                <w:i/>
                <w:iCs/>
                <w:sz w:val="20"/>
                <w:szCs w:val="20"/>
              </w:rPr>
              <w:t xml:space="preserve">του Aguamod </w:t>
            </w:r>
            <w:r>
              <w:rPr>
                <w:rFonts w:asciiTheme="minorHAnsi" w:hAnsiTheme="minorHAnsi"/>
                <w:sz w:val="20"/>
                <w:szCs w:val="20"/>
              </w:rPr>
              <w:t xml:space="preserve">ενισχύεται από τα ρεαλιστικά σενάρια του, καθιστώντας το ένα ελκυστικό και ενημερωτικό εργαλείο για την κατανόηση των προκλήσεων και των στρατηγικών διαχείρισης των υδάτων.</w:t>
            </w:r>
            <w:r>
              <w:rPr>
                <w:rFonts w:asciiTheme="minorHAnsi" w:hAnsiTheme="minorHAnsi"/>
                <w:sz w:val="20"/>
                <w:szCs w:val="20"/>
              </w:rPr>
            </w:r>
          </w:p>
          <w:p>
            <w:pPr>
              <w:pBdr/>
              <w:spacing/>
              <w:ind w:left="360"/>
              <w:rPr>
                <w:rFonts w:eastAsiaTheme="minorEastAsia"/>
                <w:sz w:val="20"/>
                <w:szCs w:val="20"/>
                <w:lang w:val="en-US"/>
              </w:rPr>
            </w:pPr>
            <w:r>
              <w:rPr>
                <w:rFonts w:eastAsiaTheme="minorEastAsia"/>
                <w:sz w:val="20"/>
                <w:szCs w:val="20"/>
                <w:lang w:val="en-US"/>
              </w:rPr>
            </w:r>
            <w:r>
              <w:rPr>
                <w:rFonts w:eastAsiaTheme="minorEastAsia"/>
                <w:sz w:val="20"/>
                <w:szCs w:val="20"/>
                <w:lang w:val="en-US"/>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Gameplay </w:t>
            </w:r>
            <w:r>
              <w:rPr>
                <w:rFonts w:eastAsiaTheme="minorEastAsia"/>
                <w:bCs/>
                <w:sz w:val="20"/>
                <w:szCs w:val="20"/>
                <w:lang w:val="en-US"/>
              </w:rPr>
              <w:t xml:space="preserve">(ανάλυση της δομής του παιχνιδιού και της αφήγησης, και πώς ο σχεδιασμός του παιχνιδιού δημιουργεί νόημα)</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13"/>
              <w:numPr>
                <w:ilvl w:val="0"/>
                <w:numId w:val="7"/>
              </w:numPr>
              <w:pBdr/>
              <w:spacing/>
              <w:ind/>
              <w:jc w:val="left"/>
              <w:rPr>
                <w:sz w:val="20"/>
                <w:szCs w:val="20"/>
              </w:rPr>
            </w:pPr>
            <w:r>
              <w:rPr>
                <w:rFonts w:eastAsiaTheme="minorEastAsia"/>
                <w:sz w:val="20"/>
                <w:szCs w:val="20"/>
                <w:lang w:val="en-US"/>
              </w:rPr>
              <w:t xml:space="preserve">Μπορέσατε να ολοκληρώσετε το παιχνίδι (ναι/όχι: γιατί);  </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καθώς έχει σχεδιαστεί για να μπορεί να ολοκληρωθεί, προσφέροντας σαφείς στόχους και ένα εκπαιδευτικό τελικό σημείο.</w:t>
            </w:r>
            <w:r>
              <w:rPr>
                <w:rFonts w:asciiTheme="minorHAnsi" w:hAnsiTheme="minorHAnsi"/>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Διάρκεια (ανά επίπεδο/αποστολή ή για ολόκληρο το παιχνίδι)  </w:t>
            </w:r>
            <w:r>
              <w:rPr>
                <w:sz w:val="20"/>
                <w:szCs w:val="20"/>
              </w:rPr>
            </w:r>
          </w:p>
          <w:p>
            <w:pPr>
              <w:pStyle w:val="1013"/>
              <w:pBdr/>
              <w:spacing/>
              <w:ind/>
              <w:jc w:val="left"/>
              <w:rPr>
                <w:sz w:val="20"/>
                <w:szCs w:val="20"/>
              </w:rPr>
            </w:pPr>
            <w:r>
              <w:rPr>
                <w:rFonts w:eastAsiaTheme="minorEastAsia"/>
                <w:sz w:val="20"/>
                <w:szCs w:val="20"/>
                <w:lang w:val="en-US"/>
              </w:rPr>
              <w:t xml:space="preserve">Κάθε αποστολή διαρκεί περίπου 10-20 λεπτά, με τη συνολική διάρκεια του παιχνιδιού να ποικίλλει ανάλογα με την εμπλοκή του χρήστη.</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Βαθμός διαδραστικότητας (οι αποφάσεις του παίκτη παίζουν καθοριστικό ρόλο στο αποτέλεσμα του παιχνιδιού);  </w:t>
            </w:r>
            <w:r>
              <w:rPr>
                <w:sz w:val="20"/>
                <w:szCs w:val="20"/>
              </w:rPr>
            </w:r>
          </w:p>
          <w:p>
            <w:pPr>
              <w:pStyle w:val="1013"/>
              <w:pBdr/>
              <w:spacing/>
              <w:ind/>
              <w:jc w:val="left"/>
              <w:rPr>
                <w:sz w:val="20"/>
                <w:szCs w:val="20"/>
              </w:rPr>
            </w:pPr>
            <w:r>
              <w:rPr>
                <w:rFonts w:eastAsiaTheme="minorEastAsia"/>
                <w:sz w:val="20"/>
                <w:szCs w:val="20"/>
                <w:lang w:val="en-US"/>
              </w:rPr>
              <w:t xml:space="preserve">Οι αποφάσεις του παίκτη επηρεάζουν σημαντικά τα αποτελέσματα της διαχείρισης των πόρων.</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Είναι ικανοποιητικός ο ρυθμός του παιχνιδιού;  </w:t>
            </w:r>
            <w:r>
              <w:rPr>
                <w:sz w:val="20"/>
                <w:szCs w:val="20"/>
              </w:rPr>
            </w:r>
          </w:p>
          <w:p>
            <w:pPr>
              <w:pStyle w:val="1013"/>
              <w:pBdr/>
              <w:spacing/>
              <w:ind w:left="794"/>
              <w:jc w:val="left"/>
              <w:rPr>
                <w:sz w:val="20"/>
                <w:szCs w:val="20"/>
              </w:rPr>
            </w:pPr>
            <w:r>
              <w:rPr>
                <w:rFonts w:eastAsiaTheme="minorEastAsia"/>
                <w:color w:val="03156c"/>
                <w:sz w:val="20"/>
                <w:szCs w:val="20"/>
                <w:lang w:val="en-US"/>
              </w:rPr>
              <w:t xml:space="preserve">Ναι, με έναν ισορροπημένο ρυθμό που επιτρέπει τη λήψη προσεκτικών αποφάσεων χωρίς καθυστερήσεις.</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Βάρος της αφήγησης (υψηλό/μέτριο/χαμηλό)  </w:t>
            </w:r>
            <w:r>
              <w:rPr>
                <w:sz w:val="20"/>
                <w:szCs w:val="20"/>
              </w:rPr>
            </w:r>
          </w:p>
          <w:p>
            <w:pPr>
              <w:pStyle w:val="1013"/>
              <w:pBdr/>
              <w:spacing/>
              <w:ind/>
              <w:jc w:val="left"/>
              <w:rPr>
                <w:sz w:val="20"/>
                <w:szCs w:val="20"/>
              </w:rPr>
            </w:pPr>
            <w:r>
              <w:rPr>
                <w:rFonts w:eastAsiaTheme="minorEastAsia"/>
                <w:sz w:val="20"/>
                <w:szCs w:val="20"/>
                <w:lang w:val="en-US"/>
              </w:rPr>
              <w:t xml:space="preserve">Μεσαία, με έμφαση περισσότερο στη λήψη αποφάσεων παρά στην αφήγηση.</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Παρουσία αφηγητή: ναι/όχι  </w:t>
            </w:r>
            <w:r>
              <w:rPr>
                <w:sz w:val="20"/>
                <w:szCs w:val="20"/>
              </w:rPr>
            </w:r>
          </w:p>
          <w:p>
            <w:pPr>
              <w:pStyle w:val="1013"/>
              <w:pBdr/>
              <w:spacing/>
              <w:ind/>
              <w:jc w:val="left"/>
              <w:rPr>
                <w:rFonts w:eastAsiaTheme="minorEastAsia"/>
                <w:sz w:val="20"/>
                <w:szCs w:val="20"/>
              </w:rPr>
            </w:pPr>
            <w:r>
              <w:rPr>
                <w:rFonts w:eastAsiaTheme="minorEastAsia"/>
                <w:sz w:val="20"/>
                <w:szCs w:val="20"/>
                <w:lang w:val="en-US"/>
              </w:rPr>
              <w:t xml:space="preserve">Όχι, η καθοδήγηση ενσωματώνεται στο gameplay και στις οδηγίες.</w:t>
            </w:r>
            <w:r>
              <w:rPr>
                <w:rFonts w:eastAsiaTheme="minorEastAsia"/>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Παρουσίαση και ρόλος του κύριου χαρακτήρα (χαρακτηριστικά και ιδιότητες του χαρακτήρα/αβατάρ)  </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Ο παίκτης ενεργεί ως διαχειριστής πόρων, ενσωματώνοντας τα χαρακτηριστικά της ευθύνης και της προσαρμοστικότητας.</w:t>
            </w:r>
            <w:r>
              <w:rPr>
                <w:rFonts w:asciiTheme="minorHAnsi" w:hAnsiTheme="minorHAnsi"/>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Απεικόνιση και ρόλος του ανταγωνιστή (χαρακτηριστικά και ιδιότητες)  </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Δεν υπάρχει άμεσος ανταγωνιστής. Οι προκλήσεις προκύπτουν από περιβαλλοντικούς περιορισμούς και περιορισμούς πόρων.</w:t>
            </w:r>
            <w:r>
              <w:rPr>
                <w:rFonts w:asciiTheme="minorHAnsi" w:hAnsiTheme="minorHAnsi"/>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Παρουσίαση του σκηνικού (κόσμος στον οποίο αναπτύσσεται ο χαρακτήρας) </w:t>
            </w:r>
            <w:r>
              <w:rPr>
                <w:sz w:val="20"/>
                <w:szCs w:val="20"/>
              </w:rPr>
            </w:r>
          </w:p>
          <w:p>
            <w:pPr>
              <w:pStyle w:val="1013"/>
              <w:pBdr/>
              <w:spacing/>
              <w:ind/>
              <w:jc w:val="left"/>
              <w:rPr>
                <w:sz w:val="20"/>
                <w:szCs w:val="20"/>
              </w:rPr>
            </w:pPr>
            <w:r>
              <w:rPr>
                <w:rFonts w:eastAsiaTheme="minorEastAsia"/>
                <w:sz w:val="20"/>
                <w:szCs w:val="20"/>
                <w:lang w:val="en-US"/>
              </w:rPr>
              <w:t xml:space="preserve">Ένα ρεαλιστικό, περιφερειακό περιβάλλον βασισμένο σε ζητήματα υδάτινων πόρων της Νοτιοδυτικής Ευρώπης.</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Διάσταση/χρονικότητα: χρονική περίοδος που καλύπτει η ιστορία και τα χαρακτηριστικά της (φανταστική/πραγματική, παγκόσμια/τοπική κ.λπ.)  </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Πραγματικό και περιφερειακό, με σκηνικό τη σημερινή Νοτιοδυτική Ευρώπη.</w:t>
            </w:r>
            <w:r>
              <w:rPr>
                <w:rFonts w:asciiTheme="minorHAnsi" w:hAnsiTheme="minorHAnsi"/>
                <w:sz w:val="20"/>
                <w:szCs w:val="20"/>
              </w:rPr>
            </w:r>
          </w:p>
          <w:p>
            <w:pPr>
              <w:pStyle w:val="1013"/>
              <w:pBdr/>
              <w:spacing/>
              <w:ind/>
              <w:jc w:val="left"/>
              <w:rPr>
                <w:rFonts w:eastAsiaTheme="minorEastAsia"/>
                <w:sz w:val="20"/>
                <w:szCs w:val="20"/>
              </w:rPr>
            </w:pPr>
            <w:r>
              <w:rPr>
                <w:rFonts w:eastAsiaTheme="minorEastAsia"/>
                <w:sz w:val="20"/>
                <w:szCs w:val="20"/>
                <w:lang w:val="en-US"/>
              </w:rPr>
              <w:t xml:space="preserve">      -    Αποστολή (οι απαραίτητες ενέργειες για να κερδίσει/ολοκληρώσει το παιχνίδι)</w:t>
            </w:r>
            <w:r>
              <w:rPr>
                <w:rFonts w:eastAsiaTheme="minorEastAsia"/>
                <w:sz w:val="20"/>
                <w:szCs w:val="20"/>
              </w:rPr>
            </w:r>
          </w:p>
          <w:p>
            <w:pPr>
              <w:pStyle w:val="1013"/>
              <w:pBdr/>
              <w:spacing/>
              <w:ind/>
              <w:jc w:val="left"/>
              <w:rPr>
                <w:rFonts w:eastAsiaTheme="minorEastAsia"/>
                <w:sz w:val="20"/>
                <w:szCs w:val="20"/>
              </w:rPr>
            </w:pPr>
            <w:r>
              <w:rPr>
                <w:rFonts w:eastAsiaTheme="minorEastAsia"/>
                <w:sz w:val="20"/>
                <w:szCs w:val="20"/>
                <w:lang w:val="en-US"/>
              </w:rPr>
              <w:t xml:space="preserve">Να κατανεμηθούν αποτελεσματικά οι υδάτινοι πόροι, εξισορροπώντας τις διαφορετικές ανάγκες και τη βιωσιμότητα</w:t>
            </w:r>
            <w:r>
              <w:rPr>
                <w:rFonts w:eastAsiaTheme="minorEastAsia"/>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Ποιοι είναι οι σιωπηροί/τελικοί στόχοι του παιχνιδιού;  </w:t>
            </w:r>
            <w:r>
              <w:rPr>
                <w:sz w:val="20"/>
                <w:szCs w:val="20"/>
              </w:rPr>
            </w:r>
          </w:p>
          <w:p>
            <w:pPr>
              <w:pStyle w:val="1013"/>
              <w:pBdr/>
              <w:spacing/>
              <w:ind/>
              <w:jc w:val="left"/>
              <w:rPr>
                <w:sz w:val="20"/>
                <w:szCs w:val="20"/>
              </w:rPr>
            </w:pPr>
            <w:r>
              <w:rPr>
                <w:rFonts w:eastAsiaTheme="minorEastAsia"/>
                <w:sz w:val="20"/>
                <w:szCs w:val="20"/>
                <w:lang w:val="en-US"/>
              </w:rPr>
              <w:t xml:space="preserve">Η προώθηση της βιώσιμης διαχείρισης των υδάτινων πόρων και η ευαισθητοποίηση σχετικά με τις προκλήσεις που</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Ποιες είναι οι κύριες προκλήσεις/εμπόδια που αντιμετωπίζει ο πρωταγωνιστής;  </w:t>
            </w:r>
            <w:r>
              <w:rPr>
                <w:sz w:val="20"/>
                <w:szCs w:val="20"/>
              </w:rPr>
            </w:r>
          </w:p>
          <w:p>
            <w:pPr>
              <w:pStyle w:val="1013"/>
              <w:pBdr/>
              <w:spacing/>
              <w:ind/>
              <w:jc w:val="left"/>
              <w:rPr>
                <w:sz w:val="20"/>
                <w:szCs w:val="20"/>
              </w:rPr>
            </w:pPr>
            <w:r>
              <w:rPr>
                <w:rFonts w:eastAsiaTheme="minorEastAsia"/>
                <w:sz w:val="20"/>
                <w:szCs w:val="20"/>
                <w:lang w:val="en-US"/>
              </w:rPr>
              <w:t xml:space="preserve">Περιορισμένοι πόροι, διακυμάνσεις των κλιματικών επιπτώσεων και απαιτήσεις των ενδιαφερόμενων μερών.</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Είναι οι μηχανισμοί του παιχνιδιού κατάλληλοι για το περιεχόμενο και τους σιωπηρούς στόχους;  </w:t>
            </w:r>
            <w:r>
              <w:rPr>
                <w:sz w:val="20"/>
                <w:szCs w:val="20"/>
              </w:rPr>
            </w:r>
          </w:p>
          <w:p>
            <w:pPr>
              <w:pStyle w:val="1013"/>
              <w:pBdr/>
              <w:spacing/>
              <w:ind/>
              <w:jc w:val="left"/>
              <w:rPr>
                <w:sz w:val="20"/>
                <w:szCs w:val="20"/>
              </w:rPr>
            </w:pPr>
            <w:r>
              <w:rPr>
                <w:rFonts w:eastAsiaTheme="minorEastAsia"/>
                <w:sz w:val="20"/>
                <w:szCs w:val="20"/>
                <w:lang w:val="en-US"/>
              </w:rPr>
              <w:t xml:space="preserve">Ναι, οι μηχανισμοί ευθυγραμμίζονται με την κατανομή των πόρων, ενθαρρύνοντας τη συνετή διαχείριση του περιβάλλοντος.</w:t>
            </w:r>
            <w:r>
              <w:rPr>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Συμφωνείτε με το σύστημα ανταμοιβών (κίνητρα για δράση);   </w:t>
            </w:r>
            <w:r>
              <w:rPr>
                <w:sz w:val="20"/>
                <w:szCs w:val="20"/>
              </w:rPr>
            </w:r>
          </w:p>
          <w:p>
            <w:pPr>
              <w:pStyle w:val="1013"/>
              <w:pBdr/>
              <w:spacing/>
              <w:ind/>
              <w:jc w:val="left"/>
              <w:rPr>
                <w:rFonts w:eastAsiaTheme="minorEastAsia"/>
                <w:sz w:val="20"/>
                <w:szCs w:val="20"/>
              </w:rPr>
            </w:pPr>
            <w:r>
              <w:rPr>
                <w:rFonts w:eastAsiaTheme="minorEastAsia"/>
                <w:sz w:val="20"/>
                <w:szCs w:val="20"/>
                <w:lang w:val="en-US"/>
              </w:rPr>
              <w:t xml:space="preserve">Ναι, καθώς οι ανταμοιβές αντανακλούν τη βελτίωση της βιωσιμότητας των υδάτων και της ισορροπίας</w:t>
            </w:r>
            <w:r>
              <w:rPr>
                <w:rFonts w:eastAsiaTheme="minorEastAsia"/>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Πώς είναι το σύστημα ανατροφοδότησης (σχόλια κειμένου, ήχου ή οπτικοακουστικά που δίνονται στον παίκτη για συγκεκριμένες ενέργειες);   </w:t>
            </w:r>
            <w:r>
              <w:rPr>
                <w:sz w:val="20"/>
                <w:szCs w:val="20"/>
              </w:rPr>
            </w:r>
          </w:p>
          <w:p>
            <w:pPr>
              <w:pStyle w:val="1047"/>
              <w:pBdr/>
              <w:spacing w:after="0" w:line="240" w:lineRule="auto"/>
              <w:ind w:left="720"/>
              <w:contextualSpacing w:val="true"/>
              <w:jc w:val="left"/>
              <w:rPr>
                <w:rFonts w:asciiTheme="minorHAnsi" w:hAnsiTheme="minorHAnsi" w:eastAsiaTheme="minorEastAsia"/>
                <w:sz w:val="20"/>
                <w:szCs w:val="20"/>
              </w:rPr>
            </w:pPr>
            <w:r>
              <w:rPr>
                <w:rFonts w:asciiTheme="minorHAnsi" w:hAnsiTheme="minorHAnsi" w:eastAsiaTheme="minorEastAsia"/>
                <w:sz w:val="20"/>
                <w:szCs w:val="20"/>
                <w:lang w:val="en-US"/>
              </w:rPr>
              <w:t xml:space="preserve">Η ανατροφοδότηση είναι κυρίως κειμενική και υπογραμμίζει τις συνέπειες των ενεργειών για μαθησιακούς σκοπούς.</w:t>
            </w:r>
            <w:r>
              <w:rPr>
                <w:rFonts w:asciiTheme="minorHAnsi" w:hAnsiTheme="minorHAnsi" w:eastAsiaTheme="minorEastAsia"/>
                <w:sz w:val="20"/>
                <w:szCs w:val="20"/>
              </w:rPr>
            </w:r>
          </w:p>
          <w:p>
            <w:pPr>
              <w:pStyle w:val="1013"/>
              <w:numPr>
                <w:ilvl w:val="0"/>
                <w:numId w:val="7"/>
              </w:numPr>
              <w:pBdr/>
              <w:spacing/>
              <w:ind/>
              <w:jc w:val="left"/>
              <w:rPr>
                <w:sz w:val="20"/>
                <w:szCs w:val="20"/>
              </w:rPr>
            </w:pPr>
            <w:r>
              <w:rPr>
                <w:rFonts w:eastAsiaTheme="minorEastAsia"/>
                <w:sz w:val="20"/>
                <w:szCs w:val="20"/>
                <w:lang w:val="en-US"/>
              </w:rPr>
              <w:t xml:space="preserve">Συνολική ιστορία (περιγραφή της ιστορίας του παιχνιδιού στο σύνολό της)  </w:t>
            </w:r>
            <w:r>
              <w:rPr>
                <w:sz w:val="20"/>
                <w:szCs w:val="20"/>
              </w:rPr>
            </w:r>
          </w:p>
          <w:p>
            <w:pPr>
              <w:pStyle w:val="1013"/>
              <w:pBdr/>
              <w:spacing/>
              <w:ind w:left="1440"/>
              <w:jc w:val="left"/>
              <w:rPr>
                <w:rFonts w:eastAsiaTheme="minorEastAsia"/>
                <w:sz w:val="20"/>
                <w:szCs w:val="20"/>
              </w:rPr>
            </w:pPr>
            <w:r>
              <w:rPr>
                <w:rFonts w:eastAsiaTheme="minorEastAsia"/>
                <w:sz w:val="20"/>
                <w:szCs w:val="20"/>
                <w:lang w:val="en-US"/>
              </w:rPr>
              <w:t xml:space="preserve">Οι παίκτες διαχειρίζονται το νερό σε μια περιοχή με περιορισμένους πόρους, λαμβάνοντας αποφάσεις που αντικατοπτρίζουν τις πραγματικές προκλήσεις βιωσιμότητας στη διαχείριση των υδάτων.</w:t>
            </w:r>
            <w:r>
              <w:rPr>
                <w:rFonts w:eastAsiaTheme="minorEastAsia"/>
                <w:sz w:val="20"/>
                <w:szCs w:val="20"/>
              </w:rPr>
            </w:r>
          </w:p>
          <w:p>
            <w:pPr>
              <w:pStyle w:val="1013"/>
              <w:pBdr/>
              <w:spacing/>
              <w:ind/>
              <w:jc w:val="left"/>
              <w:rPr>
                <w:rFonts w:eastAsiaTheme="minorEastAsia"/>
                <w:sz w:val="20"/>
                <w:szCs w:val="20"/>
                <w:lang w:val="en-US"/>
              </w:rPr>
            </w:pPr>
            <w:r>
              <w:rPr>
                <w:rFonts w:eastAsiaTheme="minorEastAsia"/>
                <w:sz w:val="20"/>
                <w:szCs w:val="20"/>
                <w:lang w:val="en-US"/>
              </w:rPr>
            </w:r>
            <w:r>
              <w:rPr>
                <w:rFonts w:eastAsiaTheme="minorEastAsia"/>
                <w:sz w:val="20"/>
                <w:szCs w:val="20"/>
                <w:lang w:val="en-US"/>
              </w:rPr>
            </w:r>
          </w:p>
          <w:p>
            <w:pPr>
              <w:pStyle w:val="1047"/>
              <w:pBdr/>
              <w:spacing w:after="0" w:line="240" w:lineRule="auto"/>
              <w:ind/>
              <w:contextualSpacing w:val="true"/>
              <w:jc w:val="left"/>
              <w:rPr>
                <w:rFonts w:asciiTheme="minorHAnsi" w:hAnsiTheme="minorHAnsi" w:eastAsiaTheme="minorEastAsia"/>
                <w:sz w:val="20"/>
                <w:szCs w:val="20"/>
                <w:lang w:val="en-US"/>
              </w:rPr>
            </w:pPr>
            <w:r>
              <w:rPr>
                <w:rFonts w:asciiTheme="minorHAnsi" w:hAnsiTheme="minorHAnsi" w:eastAsiaTheme="minorEastAsia"/>
                <w:b/>
                <w:color w:val="02146b"/>
                <w:sz w:val="20"/>
                <w:szCs w:val="20"/>
                <w:lang w:val="en-US"/>
              </w:rPr>
              <w:t xml:space="preserve">Άλλα σχετικά σχόλια για το gameplay </w:t>
            </w:r>
            <w:r>
              <w:rPr>
                <w:rFonts w:asciiTheme="minorHAnsi" w:hAnsiTheme="minorHAnsi" w:eastAsiaTheme="minorEastAsia"/>
                <w:sz w:val="20"/>
                <w:szCs w:val="20"/>
                <w:lang w:val="en-US"/>
              </w:rPr>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Περιεχόμενο </w:t>
            </w:r>
            <w:r>
              <w:rPr>
                <w:sz w:val="20"/>
                <w:szCs w:val="20"/>
              </w:rPr>
            </w:r>
          </w:p>
          <w:p>
            <w:pPr>
              <w:pBdr/>
              <w:spacing/>
              <w:ind/>
              <w:rPr>
                <w:sz w:val="20"/>
                <w:szCs w:val="20"/>
              </w:rPr>
            </w:pPr>
            <w:r>
              <w:rPr>
                <w:rFonts w:eastAsiaTheme="minorEastAsia"/>
                <w:bCs/>
                <w:sz w:val="20"/>
                <w:szCs w:val="20"/>
                <w:lang w:val="en-US"/>
              </w:rPr>
              <w:t xml:space="preserve">(ανάλυση του περιεχομένου του παιχνιδιού και των μηνυμάτων που μεταδίδονται σε σχέση με τον στόχο)</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13"/>
              <w:numPr>
                <w:ilvl w:val="0"/>
                <w:numId w:val="8"/>
              </w:numPr>
              <w:pBdr/>
              <w:spacing/>
              <w:ind/>
              <w:jc w:val="left"/>
              <w:rPr>
                <w:sz w:val="20"/>
                <w:szCs w:val="20"/>
              </w:rPr>
            </w:pPr>
            <w:r>
              <w:rPr>
                <w:rFonts w:eastAsiaTheme="minorEastAsia"/>
                <w:sz w:val="20"/>
                <w:szCs w:val="20"/>
                <w:lang w:val="en-US"/>
              </w:rPr>
              <w:t xml:space="preserve">Ποια είναι τα θέματα του παιχνιδιού;  </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sz w:val="20"/>
                <w:szCs w:val="20"/>
              </w:rPr>
              <w:t xml:space="preserve">Βιωσιμότητα, διαχείριση πόρων, περιβαλλοντική διαχείριση και συνεργασία της κοινότητας.</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Τι είδους σκέψη, γνώσεις, δεξιότητες, ικανότητες και συνειδητοποίηση αναπτύσσονται;  </w:t>
            </w:r>
            <w:r>
              <w:rPr>
                <w:sz w:val="20"/>
                <w:szCs w:val="20"/>
              </w:rPr>
            </w:r>
          </w:p>
          <w:p>
            <w:pPr>
              <w:pStyle w:val="1013"/>
              <w:pBdr/>
              <w:spacing/>
              <w:ind/>
              <w:jc w:val="left"/>
              <w:rPr>
                <w:sz w:val="20"/>
                <w:szCs w:val="20"/>
              </w:rPr>
            </w:pPr>
            <w:r>
              <w:rPr>
                <w:sz w:val="20"/>
                <w:szCs w:val="20"/>
              </w:rPr>
              <w:t xml:space="preserve">Οι παίκτες αναπτύσσουν στρατηγική σκέψη, δεξιότητες λήψης αποφάσεων και ευαισθητοποίηση σχετικά με τις προκλήσεις των υδάτινων πόρων και τις επιπτώσεις του κλίματος.</w:t>
            </w:r>
            <w:r>
              <w:rPr>
                <w:sz w:val="20"/>
                <w:szCs w:val="20"/>
              </w:rPr>
            </w:r>
          </w:p>
          <w:p>
            <w:pPr>
              <w:pStyle w:val="1013"/>
              <w:numPr>
                <w:ilvl w:val="0"/>
                <w:numId w:val="8"/>
              </w:numPr>
              <w:pBdr/>
              <w:spacing/>
              <w:ind/>
              <w:jc w:val="left"/>
              <w:rPr>
                <w:sz w:val="20"/>
                <w:szCs w:val="20"/>
              </w:rPr>
            </w:pPr>
            <w:r>
              <w:rPr>
                <w:rFonts w:eastAsiaTheme="minorEastAsia"/>
                <w:sz w:val="20"/>
                <w:szCs w:val="20"/>
                <w:lang w:val="en-US"/>
              </w:rPr>
              <w:t xml:space="preserve">Υπάρχει ρητή χρήση πηγών πληροφοριών;   </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τα σενάρια περιλαμβάνουν πραγματικά δεδομένα για το κλίμα και το περιβάλλον.</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Πιστεύετε ότι ο παίκτης μπορεί να κατανοήσει το επιθυμητό μήνυμα χωρίς εξωτερική βοήθεια;  </w:t>
            </w:r>
            <w:r>
              <w:rPr>
                <w:sz w:val="20"/>
                <w:szCs w:val="20"/>
              </w:rPr>
            </w:r>
          </w:p>
          <w:p>
            <w:pPr>
              <w:pStyle w:val="1013"/>
              <w:pBdr/>
              <w:spacing/>
              <w:ind/>
              <w:jc w:val="left"/>
              <w:rPr>
                <w:sz w:val="20"/>
                <w:szCs w:val="20"/>
              </w:rPr>
            </w:pPr>
            <w:r>
              <w:rPr>
                <w:rFonts w:eastAsiaTheme="minorEastAsia"/>
                <w:sz w:val="20"/>
                <w:szCs w:val="20"/>
                <w:lang w:val="en-US"/>
              </w:rPr>
              <w:t xml:space="preserve">Ναι, το παιχνίδι έχει σχεδιαστεί έτσι ώστε να μεταδίδει τα μηνύματά του ανεξάρτητα μέσω σεναρίων και ανατροφοδότησης.</w:t>
            </w:r>
            <w:r>
              <w:rPr>
                <w:sz w:val="20"/>
                <w:szCs w:val="20"/>
              </w:rPr>
            </w:r>
          </w:p>
          <w:p>
            <w:pPr>
              <w:pStyle w:val="1013"/>
              <w:numPr>
                <w:ilvl w:val="0"/>
                <w:numId w:val="8"/>
              </w:numPr>
              <w:pBdr/>
              <w:spacing/>
              <w:ind/>
              <w:jc w:val="left"/>
              <w:rPr>
                <w:sz w:val="20"/>
                <w:szCs w:val="20"/>
              </w:rPr>
            </w:pPr>
            <w:r>
              <w:rPr>
                <w:rFonts w:eastAsiaTheme="minorEastAsia"/>
                <w:sz w:val="20"/>
                <w:szCs w:val="20"/>
                <w:lang w:val="en-US"/>
              </w:rPr>
              <w:t xml:space="preserve">Αλλάξατε τις πεποιθήσεις/απόψεις σας ή μάθατε κάτι νέο μετά το παιχνίδι;  </w:t>
            </w:r>
            <w:r>
              <w:rPr>
                <w:sz w:val="20"/>
                <w:szCs w:val="20"/>
              </w:rPr>
            </w:r>
          </w:p>
          <w:p>
            <w:pPr>
              <w:pStyle w:val="1013"/>
              <w:pBdr/>
              <w:spacing/>
              <w:ind w:left="1440"/>
              <w:jc w:val="left"/>
              <w:rPr>
                <w:rFonts w:eastAsiaTheme="minorEastAsia"/>
                <w:sz w:val="20"/>
                <w:szCs w:val="20"/>
                <w:lang w:val="en-US"/>
              </w:rPr>
            </w:pPr>
            <w:r>
              <w:rPr>
                <w:rFonts w:eastAsiaTheme="minorEastAsia"/>
                <w:sz w:val="20"/>
                <w:szCs w:val="20"/>
                <w:lang w:val="en-US"/>
              </w:rPr>
              <w:t xml:space="preserve">Ναι, οι παίκτες συνήθως αποκτούν γνώσεις σχετικά με τη βιώσιμη διαχείριση των πόρων και τις πολύπλοκες αντισταθμίσεις που αυτή συνεπάγεται.</w:t>
            </w:r>
            <w:r>
              <w:rPr>
                <w:rFonts w:eastAsiaTheme="minorEastAsia"/>
                <w:sz w:val="20"/>
                <w:szCs w:val="20"/>
                <w:lang w:val="en-US"/>
              </w:rPr>
            </w:r>
          </w:p>
          <w:p>
            <w:pPr>
              <w:pStyle w:val="1013"/>
              <w:pBdr/>
              <w:spacing/>
              <w:ind/>
              <w:jc w:val="left"/>
              <w:rPr>
                <w:rFonts w:eastAsiaTheme="minorEastAsia"/>
                <w:sz w:val="20"/>
                <w:szCs w:val="20"/>
                <w:lang w:val="en-US"/>
              </w:rPr>
            </w:pPr>
            <w:r>
              <w:rPr>
                <w:rFonts w:eastAsiaTheme="minorEastAsia"/>
                <w:sz w:val="20"/>
                <w:szCs w:val="20"/>
                <w:lang w:val="en-US"/>
              </w:rPr>
            </w:r>
            <w:r>
              <w:rPr>
                <w:rFonts w:eastAsiaTheme="minorEastAsia"/>
                <w:sz w:val="20"/>
                <w:szCs w:val="20"/>
                <w:lang w:val="en-US"/>
              </w:rPr>
            </w:r>
          </w:p>
          <w:p>
            <w:pPr>
              <w:pStyle w:val="823"/>
              <w:pBdr/>
              <w:spacing w:after="0" w:before="0"/>
              <w:ind w:left="720"/>
              <w:contextualSpacing w:val="true"/>
              <w:jc w:val="left"/>
              <w:outlineLvl w:val="2"/>
              <w:rPr>
                <w:rFonts w:asciiTheme="minorHAnsi" w:hAnsiTheme="minorHAnsi"/>
                <w:sz w:val="20"/>
                <w:szCs w:val="20"/>
              </w:rPr>
            </w:pPr>
            <w:r/>
            <w:bookmarkStart w:id="4" w:name="__RefHeading___Toc11771_36930707311"/>
            <w:r/>
            <w:bookmarkEnd w:id="4"/>
            <w:r>
              <w:rPr>
                <w:rFonts w:asciiTheme="minorHAnsi" w:hAnsiTheme="minorHAnsi" w:eastAsiaTheme="minorEastAsia"/>
                <w:color w:val="03156c"/>
                <w:sz w:val="20"/>
                <w:szCs w:val="20"/>
                <w:lang w:val="en-US"/>
              </w:rPr>
              <w:t xml:space="preserve">Άλλα σχετικά σχόλια για το περιεχόμενο:</w:t>
            </w:r>
            <w:r>
              <w:rPr>
                <w:rFonts w:asciiTheme="minorHAnsi" w:hAnsiTheme="minorHAnsi"/>
                <w:sz w:val="20"/>
                <w:szCs w:val="20"/>
              </w:rPr>
            </w:r>
          </w:p>
          <w:p>
            <w:pPr>
              <w:pStyle w:val="1047"/>
              <w:pBdr/>
              <w:spacing w:after="0"/>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μεταφράζει αποτελεσματικά τα πραγματικά προβλήματα των πόρων σε ένα προσιτό, εκπαιδευτικό μορφότυπο που προάγει την οικολογική συνείδηση και τη βιώσιμη σκέψη.</w:t>
            </w:r>
            <w:r>
              <w:rPr>
                <w:rFonts w:asciiTheme="minorHAnsi" w:hAnsiTheme="minorHAnsi"/>
                <w:sz w:val="20"/>
                <w:szCs w:val="20"/>
              </w:rPr>
            </w:r>
          </w:p>
        </w:tc>
      </w:tr>
      <w:tr>
        <w:trPr>
          <w:trHeight w:val="5443"/>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Διδακτικός πόρος</w:t>
            </w:r>
            <w:r>
              <w:rPr>
                <w:sz w:val="20"/>
                <w:szCs w:val="20"/>
              </w:rPr>
            </w:r>
          </w:p>
          <w:p>
            <w:pPr>
              <w:pBdr/>
              <w:spacing/>
              <w:ind/>
              <w:rPr>
                <w:sz w:val="20"/>
                <w:szCs w:val="20"/>
              </w:rPr>
            </w:pPr>
            <w:r>
              <w:rPr>
                <w:rFonts w:eastAsiaTheme="minorEastAsia"/>
                <w:sz w:val="20"/>
                <w:szCs w:val="20"/>
                <w:lang w:val="en-US"/>
              </w:rPr>
              <w:t xml:space="preserve">(ανάλυση του παιχνιδιού ως διδακτικού πόρου)</w:t>
            </w:r>
            <w:r>
              <w:rPr>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13"/>
              <w:numPr>
                <w:ilvl w:val="0"/>
                <w:numId w:val="8"/>
              </w:numPr>
              <w:pBdr/>
              <w:spacing/>
              <w:ind/>
              <w:jc w:val="left"/>
              <w:rPr>
                <w:sz w:val="20"/>
                <w:szCs w:val="20"/>
              </w:rPr>
            </w:pPr>
            <w:r>
              <w:rPr>
                <w:rFonts w:eastAsiaTheme="minorEastAsia"/>
                <w:sz w:val="20"/>
                <w:szCs w:val="20"/>
                <w:lang w:val="en-US"/>
              </w:rPr>
              <w:t xml:space="preserve">Δεξιότητες του 21ου αιώνα που περιλαμβάνονται:</w:t>
            </w:r>
            <w:r>
              <w:rPr>
                <w:sz w:val="20"/>
                <w:szCs w:val="20"/>
              </w:rPr>
            </w:r>
          </w:p>
          <w:p>
            <w:pPr>
              <w:numPr>
                <w:ilvl w:val="0"/>
                <w:numId w:val="8"/>
              </w:numPr>
              <w:pBdr/>
              <w:spacing/>
              <w:ind w:left="360"/>
              <w:jc w:val="left"/>
              <w:rPr>
                <w:sz w:val="20"/>
                <w:szCs w:val="20"/>
              </w:rPr>
            </w:pPr>
            <w:r>
              <w:rPr>
                <w:rFonts w:eastAsia="Corbel"/>
                <w:sz w:val="20"/>
                <w:szCs w:val="20"/>
                <w:lang w:val="en-US"/>
              </w:rPr>
              <w:t xml:space="preserve">☐Κριτική σκέψη</w:t>
            </w:r>
            <w:r>
              <w:rPr>
                <w:sz w:val="20"/>
                <w:szCs w:val="20"/>
              </w:rPr>
            </w:r>
          </w:p>
          <w:p>
            <w:pPr>
              <w:numPr>
                <w:ilvl w:val="0"/>
                <w:numId w:val="8"/>
              </w:numPr>
              <w:pBdr/>
              <w:spacing/>
              <w:ind w:left="360"/>
              <w:jc w:val="left"/>
              <w:rPr>
                <w:sz w:val="20"/>
                <w:szCs w:val="20"/>
              </w:rPr>
            </w:pPr>
            <w:r/>
            <w:sdt>
              <w:sdtPr>
                <w15:appearance w15:val="boundingBox"/>
                <w:id w:val="1401634848"/>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Δημιουργικότητα</w:t>
            </w:r>
            <w:r>
              <w:rPr>
                <w:sz w:val="20"/>
                <w:szCs w:val="20"/>
              </w:rPr>
            </w:r>
          </w:p>
          <w:p>
            <w:pPr>
              <w:numPr>
                <w:ilvl w:val="0"/>
                <w:numId w:val="8"/>
              </w:numPr>
              <w:pBdr/>
              <w:spacing/>
              <w:ind w:left="360"/>
              <w:rPr>
                <w:sz w:val="20"/>
                <w:szCs w:val="20"/>
              </w:rPr>
            </w:pPr>
            <w:r/>
            <w:sdt>
              <w:sdtPr>
                <w15:appearance w15:val="boundingBox"/>
                <w:id w:val="1321697632"/>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Συνεργασία</w:t>
            </w:r>
            <w:r>
              <w:rPr>
                <w:sz w:val="20"/>
                <w:szCs w:val="20"/>
              </w:rPr>
            </w:r>
          </w:p>
          <w:p>
            <w:pPr>
              <w:numPr>
                <w:ilvl w:val="0"/>
                <w:numId w:val="8"/>
              </w:numPr>
              <w:pBdr/>
              <w:spacing/>
              <w:ind w:left="360"/>
              <w:rPr>
                <w:sz w:val="20"/>
                <w:szCs w:val="20"/>
              </w:rPr>
            </w:pPr>
            <w:r/>
            <w:sdt>
              <w:sdtPr>
                <w15:appearance w15:val="boundingBox"/>
                <w:id w:val="-1928496451"/>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Επικοινωνία</w:t>
            </w:r>
            <w:r>
              <w:rPr>
                <w:sz w:val="20"/>
                <w:szCs w:val="20"/>
              </w:rPr>
            </w:r>
          </w:p>
          <w:p>
            <w:pPr>
              <w:numPr>
                <w:ilvl w:val="0"/>
                <w:numId w:val="8"/>
              </w:numPr>
              <w:pBdr/>
              <w:spacing/>
              <w:ind w:left="360"/>
              <w:rPr>
                <w:sz w:val="20"/>
                <w:szCs w:val="20"/>
              </w:rPr>
            </w:pPr>
            <w:r/>
            <w:sdt>
              <w:sdtPr>
                <w15:appearance w15:val="boundingBox"/>
                <w:id w:val="-206116902"/>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 Πληροφοριακή παιδεία</w:t>
            </w:r>
            <w:r>
              <w:rPr>
                <w:sz w:val="20"/>
                <w:szCs w:val="20"/>
              </w:rPr>
            </w:r>
          </w:p>
          <w:p>
            <w:pPr>
              <w:numPr>
                <w:ilvl w:val="0"/>
                <w:numId w:val="8"/>
              </w:numPr>
              <w:pBdr/>
              <w:spacing/>
              <w:ind w:left="360"/>
              <w:rPr>
                <w:sz w:val="20"/>
                <w:szCs w:val="20"/>
              </w:rPr>
            </w:pPr>
            <w:r/>
            <w:sdt>
              <w:sdtPr>
                <w15:appearance w15:val="boundingBox"/>
                <w:id w:val="-130325637"/>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Γνώσεις σχετικά με τα μέσα ενημέρωσης</w:t>
            </w:r>
            <w:r>
              <w:rPr>
                <w:sz w:val="20"/>
                <w:szCs w:val="20"/>
              </w:rPr>
            </w:r>
          </w:p>
          <w:p>
            <w:pPr>
              <w:numPr>
                <w:ilvl w:val="0"/>
                <w:numId w:val="8"/>
              </w:numPr>
              <w:pBdr/>
              <w:spacing/>
              <w:ind w:left="360"/>
              <w:rPr>
                <w:sz w:val="20"/>
                <w:szCs w:val="20"/>
              </w:rPr>
            </w:pPr>
            <w:r/>
            <w:sdt>
              <w:sdtPr>
                <w15:appearance w15:val="boundingBox"/>
                <w:id w:val="-928422353"/>
                <w14:checkbox>
                  <w14:checked w14:val="0"/>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r>
                  <w:rPr>
                    <w:rFonts w:eastAsia="Corbel"/>
                    <w:sz w:val="20"/>
                    <w:szCs w:val="20"/>
                    <w:lang w:val="en-US"/>
                  </w:rPr>
                  <w:t xml:space="preserve">Τεχνολογική παιδεία</w:t>
                </w:r>
              </w:sdtContent>
            </w:sdt>
            <w:r/>
            <w:r>
              <w:rPr>
                <w:sz w:val="20"/>
                <w:szCs w:val="20"/>
              </w:rPr>
            </w:r>
          </w:p>
          <w:p>
            <w:pPr>
              <w:numPr>
                <w:ilvl w:val="0"/>
                <w:numId w:val="8"/>
              </w:numPr>
              <w:pBdr/>
              <w:spacing/>
              <w:ind w:left="360"/>
              <w:rPr>
                <w:sz w:val="20"/>
                <w:szCs w:val="20"/>
              </w:rPr>
            </w:pPr>
            <w:r/>
            <w:sdt>
              <w:sdtPr>
                <w15:appearance w15:val="boundingBox"/>
                <w:id w:val="1728030711"/>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Ευελιξία</w:t>
            </w:r>
            <w:r>
              <w:rPr>
                <w:sz w:val="20"/>
                <w:szCs w:val="20"/>
              </w:rPr>
            </w:r>
          </w:p>
          <w:p>
            <w:pPr>
              <w:numPr>
                <w:ilvl w:val="0"/>
                <w:numId w:val="8"/>
              </w:numPr>
              <w:pBdr/>
              <w:spacing/>
              <w:ind w:left="360"/>
              <w:rPr>
                <w:sz w:val="20"/>
                <w:szCs w:val="20"/>
              </w:rPr>
            </w:pPr>
            <w:r/>
            <w:sdt>
              <w:sdtPr>
                <w15:appearance w15:val="boundingBox"/>
                <w:id w:val="555515837"/>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Ηγεσία</w:t>
            </w:r>
            <w:r>
              <w:rPr>
                <w:sz w:val="20"/>
                <w:szCs w:val="20"/>
              </w:rPr>
            </w:r>
          </w:p>
          <w:p>
            <w:pPr>
              <w:numPr>
                <w:ilvl w:val="0"/>
                <w:numId w:val="8"/>
              </w:numPr>
              <w:pBdr/>
              <w:spacing/>
              <w:ind w:left="360"/>
              <w:rPr>
                <w:sz w:val="20"/>
                <w:szCs w:val="20"/>
              </w:rPr>
            </w:pPr>
            <w:r/>
            <w:sdt>
              <w:sdtPr>
                <w15:appearance w15:val="boundingBox"/>
                <w:id w:val="-640261813"/>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 Πρωτοβουλία</w:t>
            </w:r>
            <w:r>
              <w:rPr>
                <w:sz w:val="20"/>
                <w:szCs w:val="20"/>
              </w:rPr>
            </w:r>
          </w:p>
          <w:p>
            <w:pPr>
              <w:numPr>
                <w:ilvl w:val="0"/>
                <w:numId w:val="8"/>
              </w:numPr>
              <w:pBdr/>
              <w:spacing/>
              <w:ind w:left="360"/>
              <w:rPr>
                <w:sz w:val="20"/>
                <w:szCs w:val="20"/>
              </w:rPr>
            </w:pPr>
            <w:r/>
            <w:sdt>
              <w:sdtPr>
                <w15:appearance w15:val="boundingBox"/>
                <w:id w:val="-994410236"/>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Παραγωγικότητα</w:t>
            </w:r>
            <w:r>
              <w:rPr>
                <w:sz w:val="20"/>
                <w:szCs w:val="20"/>
              </w:rPr>
            </w:r>
          </w:p>
          <w:p>
            <w:pPr>
              <w:numPr>
                <w:ilvl w:val="0"/>
                <w:numId w:val="8"/>
              </w:numPr>
              <w:pBdr/>
              <w:spacing/>
              <w:ind w:left="360"/>
              <w:rPr>
                <w:sz w:val="20"/>
                <w:szCs w:val="20"/>
              </w:rPr>
            </w:pPr>
            <w:r/>
            <w:sdt>
              <w:sdtPr>
                <w15:appearance w15:val="boundingBox"/>
                <w:id w:val="-616062630"/>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Κοινωνικές δεξιότητες</w:t>
            </w:r>
            <w:r>
              <w:rPr>
                <w:sz w:val="20"/>
                <w:szCs w:val="20"/>
              </w:rPr>
            </w:r>
          </w:p>
          <w:p>
            <w:pPr>
              <w:pBdr/>
              <w:spacing/>
              <w:ind w:left="720"/>
              <w:rPr>
                <w:sz w:val="20"/>
                <w:szCs w:val="20"/>
                <w:lang w:val="en-US"/>
              </w:rPr>
            </w:pPr>
            <w:r>
              <w:rPr>
                <w:sz w:val="20"/>
                <w:szCs w:val="20"/>
                <w:lang w:val="en-US"/>
              </w:rPr>
            </w:r>
            <w:r>
              <w:rPr>
                <w:sz w:val="20"/>
                <w:szCs w:val="20"/>
                <w:lang w:val="en-US"/>
              </w:rPr>
            </w:r>
          </w:p>
          <w:p>
            <w:pPr>
              <w:pStyle w:val="1013"/>
              <w:numPr>
                <w:ilvl w:val="0"/>
                <w:numId w:val="8"/>
              </w:numPr>
              <w:pBdr/>
              <w:spacing/>
              <w:ind/>
              <w:rPr>
                <w:sz w:val="20"/>
                <w:szCs w:val="20"/>
              </w:rPr>
            </w:pPr>
            <w:r>
              <w:rPr>
                <w:rFonts w:eastAsia="Corbel"/>
                <w:sz w:val="20"/>
                <w:szCs w:val="20"/>
                <w:lang w:val="en-US"/>
              </w:rPr>
              <w:t xml:space="preserve">Διαστάσεις που καλύπτονται: </w:t>
            </w:r>
            <w:r>
              <w:rPr>
                <w:sz w:val="20"/>
                <w:szCs w:val="20"/>
              </w:rPr>
            </w:r>
          </w:p>
          <w:p>
            <w:pPr>
              <w:numPr>
                <w:ilvl w:val="0"/>
                <w:numId w:val="8"/>
              </w:numPr>
              <w:pBdr/>
              <w:spacing/>
              <w:ind w:left="360"/>
              <w:rPr>
                <w:sz w:val="20"/>
                <w:szCs w:val="20"/>
              </w:rPr>
            </w:pPr>
            <w:r/>
            <w:sdt>
              <w:sdtPr>
                <w15:appearance w15:val="boundingBox"/>
                <w:id w:val="1803035426"/>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Κοινωνικές</w:t>
            </w:r>
            <w:r>
              <w:rPr>
                <w:sz w:val="20"/>
                <w:szCs w:val="20"/>
              </w:rPr>
            </w:r>
          </w:p>
          <w:p>
            <w:pPr>
              <w:numPr>
                <w:ilvl w:val="0"/>
                <w:numId w:val="8"/>
              </w:numPr>
              <w:pBdr/>
              <w:spacing/>
              <w:ind w:left="360"/>
              <w:rPr>
                <w:sz w:val="20"/>
                <w:szCs w:val="20"/>
              </w:rPr>
            </w:pPr>
            <w:r/>
            <w:sdt>
              <w:sdtPr>
                <w15:appearance w15:val="boundingBox"/>
                <w:id w:val="794034663"/>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Περιβαλλοντικές</w:t>
            </w:r>
            <w:r>
              <w:rPr>
                <w:sz w:val="20"/>
                <w:szCs w:val="20"/>
              </w:rPr>
            </w:r>
          </w:p>
          <w:p>
            <w:pPr>
              <w:numPr>
                <w:ilvl w:val="0"/>
                <w:numId w:val="8"/>
              </w:numPr>
              <w:pBdr/>
              <w:spacing/>
              <w:ind w:left="360"/>
              <w:rPr>
                <w:sz w:val="20"/>
                <w:szCs w:val="20"/>
              </w:rPr>
            </w:pPr>
            <w:r/>
            <w:sdt>
              <w:sdtPr>
                <w15:appearance w15:val="boundingBox"/>
                <w:id w:val="1152800687"/>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Τεχνολογικές</w:t>
            </w:r>
            <w:r>
              <w:rPr>
                <w:sz w:val="20"/>
                <w:szCs w:val="20"/>
              </w:rPr>
            </w:r>
          </w:p>
          <w:p>
            <w:pPr>
              <w:numPr>
                <w:ilvl w:val="0"/>
                <w:numId w:val="8"/>
              </w:numPr>
              <w:pBdr/>
              <w:spacing/>
              <w:ind w:left="360"/>
              <w:rPr>
                <w:sz w:val="20"/>
                <w:szCs w:val="20"/>
              </w:rPr>
            </w:pPr>
            <w:r/>
            <w:sdt>
              <w:sdtPr>
                <w15:appearance w15:val="boundingBox"/>
                <w:id w:val="634608969"/>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Οικονομικές</w:t>
            </w:r>
            <w:r>
              <w:rPr>
                <w:sz w:val="20"/>
                <w:szCs w:val="20"/>
              </w:rPr>
            </w:r>
          </w:p>
          <w:p>
            <w:pPr>
              <w:pBdr/>
              <w:spacing/>
              <w:ind w:left="720"/>
              <w:rPr>
                <w:sz w:val="20"/>
                <w:szCs w:val="20"/>
                <w:lang w:val="en-US"/>
              </w:rPr>
            </w:pPr>
            <w:r>
              <w:rPr>
                <w:sz w:val="20"/>
                <w:szCs w:val="20"/>
                <w:lang w:val="en-US"/>
              </w:rPr>
            </w:r>
            <w:r>
              <w:rPr>
                <w:sz w:val="20"/>
                <w:szCs w:val="20"/>
                <w:lang w:val="en-US"/>
              </w:rPr>
            </w:r>
          </w:p>
          <w:p>
            <w:pPr>
              <w:pStyle w:val="1013"/>
              <w:numPr>
                <w:ilvl w:val="0"/>
                <w:numId w:val="8"/>
              </w:numPr>
              <w:pBdr/>
              <w:spacing/>
              <w:ind/>
              <w:rPr>
                <w:sz w:val="20"/>
                <w:szCs w:val="20"/>
              </w:rPr>
            </w:pPr>
            <w:r>
              <w:rPr>
                <w:rFonts w:eastAsia="Corbel"/>
                <w:sz w:val="20"/>
                <w:szCs w:val="20"/>
                <w:lang w:val="en-US"/>
              </w:rPr>
              <w:t xml:space="preserve">Σύνδεση με θέματα InterGames:</w:t>
            </w:r>
            <w:r>
              <w:rPr>
                <w:sz w:val="20"/>
                <w:szCs w:val="20"/>
              </w:rPr>
            </w:r>
          </w:p>
          <w:p>
            <w:pPr>
              <w:numPr>
                <w:ilvl w:val="0"/>
                <w:numId w:val="8"/>
              </w:numPr>
              <w:pBdr/>
              <w:spacing/>
              <w:ind w:left="360"/>
              <w:rPr>
                <w:sz w:val="20"/>
                <w:szCs w:val="20"/>
              </w:rPr>
            </w:pPr>
            <w:r/>
            <w:sdt>
              <w:sdtPr>
                <w15:appearance w15:val="boundingBox"/>
                <w:id w:val="127141612"/>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Περιβαλλοντικές επιστήμες</w:t>
            </w:r>
            <w:r>
              <w:rPr>
                <w:sz w:val="20"/>
                <w:szCs w:val="20"/>
              </w:rPr>
            </w:r>
          </w:p>
          <w:p>
            <w:pPr>
              <w:numPr>
                <w:ilvl w:val="0"/>
                <w:numId w:val="8"/>
              </w:numPr>
              <w:pBdr/>
              <w:spacing/>
              <w:ind w:left="360"/>
              <w:rPr>
                <w:sz w:val="20"/>
                <w:szCs w:val="20"/>
              </w:rPr>
            </w:pPr>
            <w:r/>
            <w:sdt>
              <w:sdtPr>
                <w15:appearance w15:val="boundingBox"/>
                <w:id w:val="-889029708"/>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Πολιτική αγωγή</w:t>
            </w:r>
            <w:r>
              <w:rPr>
                <w:sz w:val="20"/>
                <w:szCs w:val="20"/>
              </w:rPr>
            </w:r>
          </w:p>
          <w:p>
            <w:pPr>
              <w:numPr>
                <w:ilvl w:val="0"/>
                <w:numId w:val="8"/>
              </w:numPr>
              <w:pBdr/>
              <w:spacing/>
              <w:ind w:left="360"/>
              <w:rPr>
                <w:sz w:val="20"/>
                <w:szCs w:val="20"/>
              </w:rPr>
            </w:pPr>
            <w:r/>
            <w:sdt>
              <w:sdtPr>
                <w15:appearance w15:val="boundingBox"/>
                <w:id w:val="152043796"/>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Τέχνες</w:t>
            </w:r>
            <w:r>
              <w:rPr>
                <w:sz w:val="20"/>
                <w:szCs w:val="20"/>
              </w:rPr>
            </w:r>
          </w:p>
          <w:p>
            <w:pPr>
              <w:numPr>
                <w:ilvl w:val="0"/>
                <w:numId w:val="8"/>
              </w:numPr>
              <w:pBdr/>
              <w:spacing/>
              <w:ind w:left="360"/>
              <w:rPr>
                <w:sz w:val="20"/>
                <w:szCs w:val="20"/>
              </w:rPr>
            </w:pPr>
            <w:r/>
            <w:sdt>
              <w:sdtPr>
                <w15:appearance w15:val="boundingBox"/>
                <w:id w:val="-1432817457"/>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Ιστορία</w:t>
            </w:r>
            <w:r>
              <w:rPr>
                <w:sz w:val="20"/>
                <w:szCs w:val="20"/>
              </w:rPr>
            </w:r>
          </w:p>
          <w:p>
            <w:pPr>
              <w:numPr>
                <w:ilvl w:val="0"/>
                <w:numId w:val="8"/>
              </w:numPr>
              <w:pBdr/>
              <w:spacing/>
              <w:ind w:left="360"/>
              <w:rPr>
                <w:sz w:val="20"/>
                <w:szCs w:val="20"/>
              </w:rPr>
            </w:pPr>
            <w:r/>
            <w:sdt>
              <w:sdtPr>
                <w15:appearance w15:val="boundingBox"/>
                <w:id w:val="-1448231767"/>
                <w14:checkbox>
                  <w14:checked w14:val="1"/>
                  <w14:checkedState w14:val="2612" w14:font="MS Gothic"/>
                  <w14:uncheckedState w14:val="2610" w14:font="MS Gothic"/>
                </w14:checkbox>
                <w:rPr>
                  <w:sz w:val="20"/>
                  <w:szCs w:val="20"/>
                </w:rPr>
              </w:sdtPr>
              <w:sdtContent>
                <w:r>
                  <w:rPr>
                    <w:rFonts w:ascii="Segoe UI Symbol" w:hAnsi="Segoe UI Symbol" w:eastAsia="MS Gothic" w:cs="Segoe UI Symbol"/>
                    <w:sz w:val="20"/>
                    <w:szCs w:val="20"/>
                    <w:lang w:val="en-US"/>
                  </w:rPr>
                  <w:t xml:space="preserve">☒ </w:t>
                </w:r>
              </w:sdtContent>
            </w:sdt>
            <w:r>
              <w:rPr>
                <w:rFonts w:eastAsiaTheme="minorEastAsia"/>
                <w:sz w:val="20"/>
                <w:szCs w:val="20"/>
                <w:lang w:val="en-US"/>
              </w:rPr>
              <w:t xml:space="preserve">Οικονομία (</w:t>
            </w:r>
            <w:r>
              <w:rPr>
                <w:rFonts w:eastAsia="Corbel"/>
                <w:sz w:val="20"/>
                <w:szCs w:val="20"/>
                <w:lang w:val="en-US"/>
              </w:rPr>
              <w:t xml:space="preserve">  </w:t>
            </w:r>
            <w:r>
              <w:rPr>
                <w:rFonts w:eastAsiaTheme="minorEastAsia"/>
                <w:sz w:val="20"/>
                <w:szCs w:val="20"/>
                <w:lang w:val="en-US"/>
              </w:rPr>
              <w:t xml:space="preserve"> )</w:t>
            </w:r>
            <w:r>
              <w:rPr>
                <w:sz w:val="20"/>
                <w:szCs w:val="20"/>
              </w:rPr>
            </w:r>
          </w:p>
          <w:p>
            <w:pPr>
              <w:pStyle w:val="1013"/>
              <w:pBdr/>
              <w:spacing/>
              <w:ind/>
              <w:jc w:val="left"/>
              <w:rPr>
                <w:rFonts w:eastAsiaTheme="minorEastAsia"/>
                <w:sz w:val="20"/>
                <w:szCs w:val="20"/>
                <w:lang w:val="en-US"/>
              </w:rPr>
            </w:pPr>
            <w:r>
              <w:rPr>
                <w:rFonts w:eastAsiaTheme="minorEastAsia"/>
                <w:sz w:val="20"/>
                <w:szCs w:val="20"/>
                <w:lang w:val="en-US"/>
              </w:rPr>
            </w:r>
            <w:r>
              <w:rPr>
                <w:rFonts w:eastAsiaTheme="minorEastAsia"/>
                <w:sz w:val="20"/>
                <w:szCs w:val="20"/>
                <w:lang w:val="en-US"/>
              </w:rPr>
            </w:r>
          </w:p>
          <w:p>
            <w:pPr>
              <w:pStyle w:val="1013"/>
              <w:numPr>
                <w:ilvl w:val="0"/>
                <w:numId w:val="8"/>
              </w:numPr>
              <w:pBdr/>
              <w:spacing/>
              <w:ind/>
              <w:jc w:val="left"/>
              <w:rPr>
                <w:sz w:val="20"/>
                <w:szCs w:val="20"/>
              </w:rPr>
            </w:pPr>
            <w:r>
              <w:rPr>
                <w:rFonts w:eastAsiaTheme="minorEastAsia"/>
                <w:sz w:val="20"/>
                <w:szCs w:val="20"/>
                <w:lang w:val="en-US"/>
              </w:rPr>
              <w:t xml:space="preserve">Ικανότητες (γνώσεις που αποκτά ο μαθητής) </w:t>
            </w:r>
            <w:r>
              <w:rPr>
                <w:sz w:val="20"/>
                <w:szCs w:val="20"/>
              </w:rPr>
            </w:r>
          </w:p>
          <w:p>
            <w:pPr>
              <w:pStyle w:val="1047"/>
              <w:pBdr/>
              <w:spacing w:after="0"/>
              <w:ind w:left="707"/>
              <w:rPr>
                <w:rFonts w:asciiTheme="minorHAnsi" w:hAnsiTheme="minorHAnsi"/>
                <w:sz w:val="20"/>
                <w:szCs w:val="20"/>
              </w:rPr>
            </w:pPr>
            <w:r>
              <w:rPr>
                <w:rFonts w:asciiTheme="minorHAnsi" w:hAnsiTheme="minorHAnsi"/>
                <w:sz w:val="20"/>
                <w:szCs w:val="20"/>
              </w:rPr>
              <w:t xml:space="preserve">Κατανόηση της βιώσιμης διαχείρισης των υδάτων, της κατανομής των πόρων και των οικολογικών επιπτώσεων.</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Συνθήκες επίλυσης προβλημάτων (τρόπος σκέψης για την επίλυση προβλημάτων: αναπαραγωγική μνήμη, παραγωγική δημιουργικότητα)</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sz w:val="20"/>
                <w:szCs w:val="20"/>
                <w:lang w:val="en-US"/>
              </w:rPr>
              <w:t xml:space="preserve">Ενθαρρύνει την παραγωγική, δημιουργική επίλυση προβλημάτων για την εξισορρόπηση των ανταγωνιστικών αναγκών υπό περιορισμούς πόρων.</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Ανάγκη για προηγούμενη γνώση (όχι/ναι: λεπτομέρειες)</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Ελάχιστη· η γενική ευαισθητοποίηση σε περιβαλλοντικά ζητήματα μπορεί να βοηθήσει, αλλά δεν είναι απαραίτητη.</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Καμπύλη μάθησης (δυσκολία μάθησης: χαμηλή, μέτρια, υψηλή)</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Μεσαία; οι έννοιες είναι προσιτές, αλλά απαιτούν στρατηγική σκέψη.</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Δυνατότητα ομαδικής εργασίας (όχι/ναι: λεπτομέρειες)</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μπορεί να προσαρμοστεί για τη λήψη αποφάσεων σε ομάδες ή για συζητήσεις στην τάξη.</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Περιλαμβάνει οδηγό διδασκαλίας (πληροφορίες για εκπαιδευτικούς με συμβουλές και παραδείγματα για εφαρμογή στην τάξη);</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w:t>
            </w:r>
            <w:r>
              <w:rPr>
                <w:rFonts w:asciiTheme="minorHAnsi" w:hAnsiTheme="minorHAnsi" w:eastAsiaTheme="minorEastAsia"/>
                <w:color w:val="0260bf"/>
                <w:sz w:val="20"/>
                <w:szCs w:val="20"/>
                <w:lang w:val="en-US"/>
              </w:rPr>
              <w:t xml:space="preserve">http://www.aguamod- sudoe.eu/handbook/content/pdf/principal/ficha_juegointeractiv o_en.pdf </w:t>
            </w:r>
            <w:r>
              <w:rPr>
                <w:rFonts w:asciiTheme="minorHAnsi" w:hAnsiTheme="minorHAnsi"/>
                <w:sz w:val="20"/>
                <w:szCs w:val="20"/>
              </w:rPr>
            </w:r>
          </w:p>
          <w:p>
            <w:pPr>
              <w:pStyle w:val="1013"/>
              <w:numPr>
                <w:ilvl w:val="0"/>
                <w:numId w:val="8"/>
              </w:numPr>
              <w:pBdr/>
              <w:spacing/>
              <w:ind/>
              <w:jc w:val="left"/>
              <w:rPr>
                <w:sz w:val="20"/>
                <w:szCs w:val="20"/>
              </w:rPr>
            </w:pPr>
            <w:r>
              <w:rPr>
                <w:rFonts w:eastAsiaTheme="minorEastAsia"/>
                <w:sz w:val="20"/>
                <w:szCs w:val="20"/>
                <w:lang w:val="en-US"/>
              </w:rPr>
              <w:t xml:space="preserve">Δυνατότητα αξιολόγησης από τον εκπαιδευτικό (όχι/ναι: προσδιορίστε)</w:t>
            </w:r>
            <w:r>
              <w:rPr>
                <w:sz w:val="20"/>
                <w:szCs w:val="20"/>
              </w:rPr>
            </w:r>
          </w:p>
          <w:p>
            <w:pPr>
              <w:pStyle w:val="1047"/>
              <w:pBdr/>
              <w:spacing w:after="0" w:line="240" w:lineRule="auto"/>
              <w:ind w:left="720"/>
              <w:contextualSpacing w:val="true"/>
              <w:jc w:val="left"/>
              <w:rPr>
                <w:rFonts w:asciiTheme="minorHAnsi" w:hAnsiTheme="minorHAnsi"/>
                <w:sz w:val="20"/>
                <w:szCs w:val="20"/>
              </w:rPr>
            </w:pPr>
            <w:r>
              <w:rPr>
                <w:rFonts w:asciiTheme="minorHAnsi" w:hAnsiTheme="minorHAnsi"/>
                <w:sz w:val="20"/>
                <w:szCs w:val="20"/>
              </w:rPr>
              <w:t xml:space="preserve">Ναι, οι εκπαιδευτικοί μπορούν να αξιολογήσουν με βάση τα αποτελέσματα των αποφάσεων, τον αναστοχασμό και τη συμμετοχή στη συζήτηση.</w:t>
            </w:r>
            <w:r>
              <w:rPr>
                <w:rFonts w:asciiTheme="minorHAnsi" w:hAnsiTheme="minorHAnsi"/>
                <w:sz w:val="20"/>
                <w:szCs w:val="20"/>
              </w:rPr>
            </w:r>
          </w:p>
          <w:p>
            <w:pPr>
              <w:pStyle w:val="1047"/>
              <w:pBdr/>
              <w:spacing w:after="0" w:line="240" w:lineRule="auto"/>
              <w:ind w:left="720"/>
              <w:contextualSpacing w:val="true"/>
              <w:jc w:val="left"/>
              <w:rPr>
                <w:rFonts w:asciiTheme="minorHAnsi" w:hAnsiTheme="minorHAnsi" w:eastAsiaTheme="minorEastAsia"/>
                <w:sz w:val="20"/>
                <w:szCs w:val="20"/>
                <w:lang w:val="en-US"/>
              </w:rPr>
            </w:pPr>
            <w:r>
              <w:rPr>
                <w:rFonts w:asciiTheme="minorHAnsi" w:hAnsiTheme="minorHAnsi" w:eastAsiaTheme="minorEastAsia"/>
                <w:sz w:val="20"/>
                <w:szCs w:val="20"/>
                <w:lang w:val="en-US"/>
              </w:rPr>
            </w:r>
            <w:r>
              <w:rPr>
                <w:rFonts w:asciiTheme="minorHAnsi" w:hAnsiTheme="minorHAnsi" w:eastAsiaTheme="minorEastAsia"/>
                <w:sz w:val="20"/>
                <w:szCs w:val="20"/>
                <w:lang w:val="en-US"/>
              </w:rPr>
            </w:r>
          </w:p>
          <w:p>
            <w:pPr>
              <w:pBdr/>
              <w:spacing/>
              <w:ind w:left="291"/>
              <w:rPr>
                <w:sz w:val="20"/>
                <w:szCs w:val="20"/>
              </w:rPr>
            </w:pPr>
            <w:r>
              <w:rPr>
                <w:rFonts w:eastAsiaTheme="minorEastAsia"/>
                <w:sz w:val="20"/>
                <w:szCs w:val="20"/>
                <w:lang w:val="en-US"/>
              </w:rPr>
              <w:t xml:space="preserve">Άλλα σχετικά σχόλια σχετικά με τη χρήση του ως εκπαιδευτικό εργαλείο και τις διεπιστημονικές δυνατότητες. </w:t>
            </w:r>
            <w:r>
              <w:rPr>
                <w:sz w:val="20"/>
                <w:szCs w:val="20"/>
              </w:rPr>
            </w:r>
          </w:p>
          <w:p>
            <w:pPr>
              <w:pBdr/>
              <w:spacing/>
              <w:ind w:left="291"/>
              <w:rPr>
                <w:sz w:val="20"/>
                <w:szCs w:val="20"/>
              </w:rPr>
            </w:pPr>
            <w:r>
              <w:rPr>
                <w:i/>
                <w:iCs/>
                <w:sz w:val="20"/>
                <w:szCs w:val="20"/>
              </w:rPr>
              <w:t xml:space="preserve">Το Aguamod </w:t>
            </w:r>
            <w:r>
              <w:rPr>
                <w:sz w:val="20"/>
                <w:szCs w:val="20"/>
              </w:rPr>
              <w:t xml:space="preserve">είναι πολύτιμο για </w:t>
            </w:r>
            <w:r>
              <w:rPr>
                <w:sz w:val="20"/>
                <w:szCs w:val="20"/>
              </w:rPr>
              <w:t xml:space="preserve">διεπιστημονικά μαθήματα περιβαλλοντικών ε</w:t>
            </w:r>
            <w:r>
              <w:rPr>
                <w:sz w:val="20"/>
                <w:szCs w:val="20"/>
              </w:rPr>
              <w:t xml:space="preserve">πιστημών, γεωγραφίας και κοινωνικών επιστημών, καθώς προάγει τη συνεργασία και τη συστημική σκέψη. Προωθεί συζητήσεις σχετικά με τη βιωσιμότητα, την οικονομία και τη δημόσια πολιτική, καθιστώντας το ιδανικό τόσο για ατομική μάθηση όσο και για ομαδικά έργα.</w:t>
            </w:r>
            <w:r>
              <w:rPr>
                <w:sz w:val="20"/>
                <w:szCs w:val="20"/>
              </w:rPr>
            </w:r>
          </w:p>
          <w:p>
            <w:pPr>
              <w:pBdr/>
              <w:spacing/>
              <w:ind w:left="291"/>
              <w:rPr>
                <w:rFonts w:eastAsiaTheme="minorEastAsia"/>
                <w:sz w:val="20"/>
                <w:szCs w:val="20"/>
                <w:lang w:val="en-US"/>
              </w:rPr>
            </w:pPr>
            <w:r>
              <w:rPr>
                <w:rFonts w:eastAsiaTheme="minorEastAsia"/>
                <w:sz w:val="20"/>
                <w:szCs w:val="20"/>
                <w:lang w:val="en-US"/>
              </w:rPr>
            </w:r>
            <w:r>
              <w:rPr>
                <w:rFonts w:eastAsiaTheme="minorEastAsia"/>
                <w:sz w:val="20"/>
                <w:szCs w:val="20"/>
                <w:lang w:val="en-US"/>
              </w:rPr>
            </w:r>
          </w:p>
          <w:p>
            <w:pPr>
              <w:pStyle w:val="1047"/>
              <w:pBdr/>
              <w:spacing w:after="0" w:line="240" w:lineRule="auto"/>
              <w:ind w:left="833"/>
              <w:contextualSpacing w:val="true"/>
              <w:jc w:val="left"/>
              <w:rPr>
                <w:rFonts w:asciiTheme="minorHAnsi" w:hAnsiTheme="minorHAnsi" w:eastAsiaTheme="minorEastAsia"/>
                <w:sz w:val="20"/>
                <w:szCs w:val="20"/>
                <w:lang w:val="en-US"/>
              </w:rPr>
            </w:pPr>
            <w:r>
              <w:rPr>
                <w:rFonts w:asciiTheme="minorHAnsi" w:hAnsiTheme="minorHAnsi" w:eastAsiaTheme="minorEastAsia"/>
                <w:sz w:val="20"/>
                <w:szCs w:val="20"/>
                <w:lang w:val="en-US"/>
              </w:rPr>
            </w:r>
            <w:r>
              <w:rPr>
                <w:rFonts w:asciiTheme="minorHAnsi" w:hAnsiTheme="minorHAnsi" w:eastAsiaTheme="minorEastAsia"/>
                <w:sz w:val="20"/>
                <w:szCs w:val="20"/>
                <w:lang w:val="en-US"/>
              </w:rPr>
            </w:r>
          </w:p>
        </w:tc>
      </w:tr>
    </w:tbl>
    <w:p>
      <w:pPr>
        <w:pBdr/>
        <w:tabs>
          <w:tab w:val="left" w:leader="none" w:pos="2154"/>
        </w:tabs>
        <w:spacing/>
        <w:ind/>
        <w:rPr>
          <w:sz w:val="18"/>
          <w:szCs w:val="16"/>
        </w:rPr>
      </w:pPr>
      <w:r>
        <w:rPr>
          <w:sz w:val="18"/>
          <w:szCs w:val="16"/>
        </w:rPr>
      </w:r>
      <w:r>
        <w:rPr>
          <w:sz w:val="18"/>
          <w:szCs w:val="16"/>
        </w:rPr>
      </w:r>
    </w:p>
    <w:p>
      <w:pPr>
        <w:pBdr/>
        <w:tabs>
          <w:tab w:val="left" w:leader="none" w:pos="2154"/>
        </w:tabs>
        <w:spacing/>
        <w:ind/>
        <w:rPr>
          <w:sz w:val="18"/>
          <w:szCs w:val="16"/>
        </w:rPr>
      </w:pPr>
      <w:r>
        <w:rPr>
          <w:sz w:val="18"/>
          <w:szCs w:val="16"/>
        </w:rPr>
      </w:r>
      <w:r>
        <w:rPr>
          <w:sz w:val="18"/>
          <w:szCs w:val="16"/>
        </w:rPr>
      </w:r>
    </w:p>
    <w:p>
      <w:pPr>
        <w:pBdr/>
        <w:spacing/>
        <w:ind/>
        <w:jc w:val="left"/>
        <w:rPr/>
      </w:pPr>
      <w:r/>
      <w:r/>
    </w:p>
    <w:p>
      <w:pPr>
        <w:pBdr/>
        <w:spacing/>
        <w:ind/>
        <w:jc w:val="left"/>
        <w:rPr/>
      </w:pPr>
      <w:r/>
      <w:r/>
    </w:p>
    <w:p>
      <w:pPr>
        <w:pBdr/>
        <w:spacing/>
        <w:ind/>
        <w:jc w:val="left"/>
        <w:rPr/>
      </w:pPr>
      <w:r/>
      <w:r/>
    </w:p>
    <w:p>
      <w:pPr>
        <w:pBdr/>
        <w:spacing/>
        <w:ind/>
        <w:jc w:val="left"/>
        <w:rPr>
          <w:b/>
          <w:bCs/>
          <w:caps/>
          <w:sz w:val="36"/>
          <w:szCs w:val="32"/>
        </w:rPr>
      </w:pPr>
      <w:r>
        <w:rPr>
          <w:b/>
          <w:bCs/>
          <w:caps/>
          <w:sz w:val="36"/>
          <w:szCs w:val="32"/>
        </w:rPr>
      </w:r>
      <w:r>
        <w:rPr>
          <w:b/>
          <w:bCs/>
          <w:caps/>
          <w:sz w:val="36"/>
          <w:szCs w:val="32"/>
        </w:rPr>
      </w:r>
    </w:p>
    <w:p>
      <w:pPr>
        <w:pBdr/>
        <w:tabs>
          <w:tab w:val="left" w:leader="none" w:pos="2154"/>
        </w:tabs>
        <w:spacing/>
        <w:ind/>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rbel">
    <w:panose1 w:val="020B0503020204020204"/>
  </w:font>
  <w:font w:name="Calibri">
    <w:panose1 w:val="020F0502020204030204"/>
  </w:font>
  <w:font w:name="Segoe UI Symbol">
    <w:panose1 w:val="020B050204050402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016"/>
          <w:pBdr/>
          <w:spacing/>
          <w:ind/>
          <w:rPr/>
        </w:pP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ind/>
                                <w:rPr>
                                  <w:sz w:val="12"/>
                                  <w:szCs w:val="12"/>
                                </w:rPr>
                              </w:pPr>
                              <w:r>
                                <w:rPr>
                                  <w:sz w:val="12"/>
                                  <w:szCs w:val="12"/>
                                </w:rPr>
                              </w:r>
                              <w:r>
                                <w:rPr>
                                  <w:rFonts w:ascii="Arial" w:hAnsi="Arial" w:eastAsia="Arial" w:cs="Arial"/>
                                  <w:color w:val="4a4a4a"/>
                                  <w:spacing w:val="6"/>
                                  <w:sz w:val="12"/>
                                  <w:szCs w:val="12"/>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2"/>
                                  <w:szCs w:val="12"/>
                                  <w:highlight w:val="white"/>
                                </w:rPr>
                                <w:t xml:space="preserve">σα αρχή μπορούν να θεωρηθούν υπεύθυνες για αυτές.</w:t>
                              </w:r>
                              <w:r>
                                <w:rPr>
                                  <w:sz w:val="12"/>
                                  <w:szCs w:val="12"/>
                                </w:rPr>
                              </w:r>
                              <w:r>
                                <w:rPr>
                                  <w:sz w:val="12"/>
                                  <w:szCs w:val="12"/>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ind/>
                          <w:rPr>
                            <w:sz w:val="12"/>
                            <w:szCs w:val="12"/>
                          </w:rPr>
                        </w:pPr>
                        <w:r>
                          <w:rPr>
                            <w:sz w:val="12"/>
                            <w:szCs w:val="12"/>
                          </w:rPr>
                        </w:r>
                        <w:r>
                          <w:rPr>
                            <w:rFonts w:ascii="Arial" w:hAnsi="Arial" w:eastAsia="Arial" w:cs="Arial"/>
                            <w:color w:val="4a4a4a"/>
                            <w:spacing w:val="6"/>
                            <w:sz w:val="12"/>
                            <w:szCs w:val="12"/>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2"/>
                            <w:szCs w:val="12"/>
                            <w:highlight w:val="white"/>
                          </w:rPr>
                          <w:t xml:space="preserve">σα αρχή μπορούν να θεωρηθούν υπεύθυνες για αυτές.</w:t>
                        </w:r>
                        <w:r>
                          <w:rPr>
                            <w:sz w:val="12"/>
                            <w:szCs w:val="12"/>
                          </w:rPr>
                        </w:r>
                        <w:r>
                          <w:rPr>
                            <w:sz w:val="12"/>
                            <w:szCs w:val="12"/>
                          </w:rPr>
                        </w:r>
                      </w:p>
                    </w:txbxContent>
                  </v:textbox>
                </v:shape>
              </w:pict>
            </mc:Fallback>
          </mc:AlternateContent>
        </w: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12</w:t>
        </w:r>
        <w:r>
          <w:fldChar w:fldCharType="end"/>
        </w: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4"/>
      <w:pBdr/>
      <w:spacing/>
      <w:ind/>
      <w:jc w:val="right"/>
      <w:rPr/>
    </w:pPr>
    <w:r>
      <w:rPr>
        <w:lang w:val="gl-ES" w:eastAsia="gl-ES"/>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4C8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
    <w:nsid w:val="0972151D"/>
    <w:lvl w:ilvl="0">
      <w:isLgl w:val="false"/>
      <w:lvlJc w:val="left"/>
      <w:lvlText w:val=""/>
      <w:numFmt w:val="none"/>
      <w:pPr>
        <w:pBdr/>
        <w:spacing/>
        <w:ind w:firstLine="0" w:left="0"/>
      </w:pPr>
      <w:rPr/>
      <w:start w:val="1"/>
      <w:suff w:val="nothing"/>
    </w:lvl>
    <w:lvl w:ilvl="1">
      <w:isLgl w:val="false"/>
      <w:lvlJc w:val="left"/>
      <w:lvlText w:val=""/>
      <w:numFmt w:val="none"/>
      <w:pPr>
        <w:pBdr/>
        <w:spacing/>
        <w:ind w:firstLine="0" w:left="0"/>
      </w:pPr>
      <w:rPr/>
      <w:start w:val="1"/>
      <w:suff w:val="nothing"/>
    </w:lvl>
    <w:lvl w:ilvl="2">
      <w:isLgl w:val="false"/>
      <w:lvlJc w:val="left"/>
      <w:lvlText w:val=""/>
      <w:numFmt w:val="none"/>
      <w:pPr>
        <w:pBdr/>
        <w:spacing/>
        <w:ind w:firstLine="0" w:left="0"/>
      </w:pPr>
      <w:rPr/>
      <w:start w:val="1"/>
      <w:suff w:val="nothing"/>
    </w:lvl>
    <w:lvl w:ilvl="3">
      <w:isLgl w:val="false"/>
      <w:lvlJc w:val="left"/>
      <w:lvlText w:val=""/>
      <w:numFmt w:val="none"/>
      <w:pPr>
        <w:pBdr/>
        <w:spacing/>
        <w:ind w:firstLine="0" w:left="0"/>
      </w:pPr>
      <w:rPr/>
      <w:start w:val="1"/>
      <w:suff w:val="nothing"/>
    </w:lvl>
    <w:lvl w:ilvl="4">
      <w:isLgl w:val="false"/>
      <w:lvlJc w:val="left"/>
      <w:lvlText w:val=""/>
      <w:numFmt w:val="none"/>
      <w:pPr>
        <w:pBdr/>
        <w:spacing/>
        <w:ind w:firstLine="0" w:left="0"/>
      </w:pPr>
      <w:rPr/>
      <w:start w:val="1"/>
      <w:suff w:val="nothing"/>
    </w:lvl>
    <w:lvl w:ilvl="5">
      <w:isLgl w:val="false"/>
      <w:lvlJc w:val="left"/>
      <w:lvlText w:val=""/>
      <w:numFmt w:val="none"/>
      <w:pPr>
        <w:pBdr/>
        <w:spacing/>
        <w:ind w:firstLine="0" w:left="0"/>
      </w:pPr>
      <w:rPr/>
      <w:start w:val="1"/>
      <w:suff w:val="nothing"/>
    </w:lvl>
    <w:lvl w:ilvl="6">
      <w:isLgl w:val="false"/>
      <w:lvlJc w:val="left"/>
      <w:lvlText w:val=""/>
      <w:numFmt w:val="none"/>
      <w:pPr>
        <w:pBdr/>
        <w:spacing/>
        <w:ind w:firstLine="0" w:left="0"/>
      </w:pPr>
      <w:rPr/>
      <w:start w:val="1"/>
      <w:suff w:val="nothing"/>
    </w:lvl>
    <w:lvl w:ilvl="7">
      <w:isLgl w:val="false"/>
      <w:lvlJc w:val="left"/>
      <w:lvlText w:val=""/>
      <w:numFmt w:val="none"/>
      <w:pPr>
        <w:pBdr/>
        <w:spacing/>
        <w:ind w:firstLine="0" w:left="0"/>
      </w:pPr>
      <w:rPr/>
      <w:start w:val="1"/>
      <w:suff w:val="nothing"/>
    </w:lvl>
    <w:lvl w:ilvl="8">
      <w:isLgl w:val="false"/>
      <w:lvlJc w:val="left"/>
      <w:lvlText w:val=""/>
      <w:numFmt w:val="none"/>
      <w:pPr>
        <w:pBdr/>
        <w:spacing/>
        <w:ind w:firstLine="0" w:left="0"/>
      </w:pPr>
      <w:rPr/>
      <w:start w:val="1"/>
      <w:suff w:val="nothing"/>
    </w:lvl>
  </w:abstractNum>
  <w:abstractNum w:abstractNumId="2">
    <w:nsid w:val="1770624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2D3C0305"/>
    <w:lvl w:ilvl="0">
      <w:isLgl w:val="false"/>
      <w:lvlJc w:val="left"/>
      <w:lvlText w:val="%1)"/>
      <w:numFmt w:val="lowerLetter"/>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
    <w:nsid w:val="3EA87E43"/>
    <w:lvl w:ilvl="0">
      <w:isLgl w:val="false"/>
      <w:lvlJc w:val="left"/>
      <w:lvlText w:val="%1."/>
      <w:numFmt w:val="decimal"/>
      <w:pPr>
        <w:pBdr/>
        <w:spacing/>
        <w:ind w:hanging="720" w:left="1080"/>
      </w:pPr>
      <w:rPr/>
      <w:start w:val="1"/>
      <w:suff w:val="tab"/>
    </w:lvl>
    <w:lvl w:ilvl="1">
      <w:isLgl w:val="false"/>
      <w:lvlJc w:val="left"/>
      <w:lvlText w:val="%1.%2."/>
      <w:numFmt w:val="decimal"/>
      <w:pPr>
        <w:pBdr/>
        <w:spacing/>
        <w:ind w:hanging="720" w:left="1080"/>
      </w:pPr>
      <w:rPr/>
      <w:start w:val="1"/>
      <w:suff w:val="tab"/>
    </w:lvl>
    <w:lvl w:ilvl="2">
      <w:isLgl w:val="false"/>
      <w:lvlJc w:val="left"/>
      <w:lvlText w:val="%1.%2.%3."/>
      <w:numFmt w:val="decimal"/>
      <w:pPr>
        <w:pBdr/>
        <w:spacing/>
        <w:ind w:hanging="1080" w:left="1440"/>
      </w:pPr>
      <w:rPr/>
      <w:start w:val="1"/>
      <w:suff w:val="tab"/>
    </w:lvl>
    <w:lvl w:ilvl="3">
      <w:isLgl w:val="false"/>
      <w:lvlJc w:val="left"/>
      <w:lvlText w:val="%1.%2.%3.%4."/>
      <w:numFmt w:val="decimal"/>
      <w:pPr>
        <w:pBdr/>
        <w:spacing/>
        <w:ind w:hanging="1440" w:left="1800"/>
      </w:pPr>
      <w:rPr/>
      <w:start w:val="1"/>
      <w:suff w:val="tab"/>
    </w:lvl>
    <w:lvl w:ilvl="4">
      <w:isLgl w:val="false"/>
      <w:lvlJc w:val="left"/>
      <w:lvlText w:val="%1.%2.%3.%4.%5."/>
      <w:numFmt w:val="decimal"/>
      <w:pPr>
        <w:pBdr/>
        <w:spacing/>
        <w:ind w:hanging="1800" w:left="2160"/>
      </w:pPr>
      <w:rPr/>
      <w:start w:val="1"/>
      <w:suff w:val="tab"/>
    </w:lvl>
    <w:lvl w:ilvl="5">
      <w:isLgl w:val="false"/>
      <w:lvlJc w:val="left"/>
      <w:lvlText w:val="%1.%2.%3.%4.%5.%6."/>
      <w:numFmt w:val="decimal"/>
      <w:pPr>
        <w:pBdr/>
        <w:spacing/>
        <w:ind w:hanging="2160" w:left="2520"/>
      </w:pPr>
      <w:rPr/>
      <w:start w:val="1"/>
      <w:suff w:val="tab"/>
    </w:lvl>
    <w:lvl w:ilvl="6">
      <w:isLgl w:val="false"/>
      <w:lvlJc w:val="left"/>
      <w:lvlText w:val="%1.%2.%3.%4.%5.%6.%7."/>
      <w:numFmt w:val="decimal"/>
      <w:pPr>
        <w:pBdr/>
        <w:spacing/>
        <w:ind w:hanging="2520" w:left="2880"/>
      </w:pPr>
      <w:rPr/>
      <w:start w:val="1"/>
      <w:suff w:val="tab"/>
    </w:lvl>
    <w:lvl w:ilvl="7">
      <w:isLgl w:val="false"/>
      <w:lvlJc w:val="left"/>
      <w:lvlText w:val="%1.%2.%3.%4.%5.%6.%7.%8."/>
      <w:numFmt w:val="decimal"/>
      <w:pPr>
        <w:pBdr/>
        <w:spacing/>
        <w:ind w:hanging="2880" w:left="3240"/>
      </w:pPr>
      <w:rPr/>
      <w:start w:val="1"/>
      <w:suff w:val="tab"/>
    </w:lvl>
    <w:lvl w:ilvl="8">
      <w:isLgl w:val="false"/>
      <w:lvlJc w:val="left"/>
      <w:lvlText w:val="%1.%2.%3.%4.%5.%6.%7.%8.%9."/>
      <w:numFmt w:val="decimal"/>
      <w:pPr>
        <w:pBdr/>
        <w:spacing/>
        <w:ind w:hanging="3240" w:left="3600"/>
      </w:pPr>
      <w:rPr/>
      <w:start w:val="1"/>
      <w:suff w:val="tab"/>
    </w:lvl>
  </w:abstractNum>
  <w:abstractNum w:abstractNumId="5">
    <w:nsid w:val="57164009"/>
    <w:lvl w:ilvl="0">
      <w:isLgl w:val="false"/>
      <w:lvlJc w:val="left"/>
      <w:lvlText w:val="%1."/>
      <w:numFmt w:val="decimal"/>
      <w:pPr>
        <w:pBdr/>
        <w:tabs>
          <w:tab w:val="num" w:leader="none" w:pos="707"/>
        </w:tabs>
        <w:spacing/>
        <w:ind w:hanging="283" w:left="707"/>
      </w:pPr>
      <w:rPr/>
      <w:start w:val="1"/>
      <w:suff w:val="tab"/>
    </w:lvl>
    <w:lvl w:ilvl="1">
      <w:isLgl w:val="false"/>
      <w:lvlJc w:val="left"/>
      <w:lvlText w:val="%2."/>
      <w:numFmt w:val="decimal"/>
      <w:pPr>
        <w:pBdr/>
        <w:tabs>
          <w:tab w:val="num" w:leader="none" w:pos="1414"/>
        </w:tabs>
        <w:spacing/>
        <w:ind w:hanging="283" w:left="1414"/>
      </w:pPr>
      <w:rPr/>
      <w:start w:val="1"/>
      <w:suff w:val="tab"/>
    </w:lvl>
    <w:lvl w:ilvl="2">
      <w:isLgl w:val="false"/>
      <w:lvlJc w:val="left"/>
      <w:lvlText w:val="%3."/>
      <w:numFmt w:val="decimal"/>
      <w:pPr>
        <w:pBdr/>
        <w:tabs>
          <w:tab w:val="num" w:leader="none" w:pos="2121"/>
        </w:tabs>
        <w:spacing/>
        <w:ind w:hanging="283" w:left="2121"/>
      </w:pPr>
      <w:rPr/>
      <w:start w:val="1"/>
      <w:suff w:val="tab"/>
    </w:lvl>
    <w:lvl w:ilvl="3">
      <w:isLgl w:val="false"/>
      <w:lvlJc w:val="left"/>
      <w:lvlText w:val="%4."/>
      <w:numFmt w:val="decimal"/>
      <w:pPr>
        <w:pBdr/>
        <w:tabs>
          <w:tab w:val="num" w:leader="none" w:pos="2828"/>
        </w:tabs>
        <w:spacing/>
        <w:ind w:hanging="283" w:left="2828"/>
      </w:pPr>
      <w:rPr/>
      <w:start w:val="1"/>
      <w:suff w:val="tab"/>
    </w:lvl>
    <w:lvl w:ilvl="4">
      <w:isLgl w:val="false"/>
      <w:lvlJc w:val="left"/>
      <w:lvlText w:val="%5."/>
      <w:numFmt w:val="decimal"/>
      <w:pPr>
        <w:pBdr/>
        <w:tabs>
          <w:tab w:val="num" w:leader="none" w:pos="3535"/>
        </w:tabs>
        <w:spacing/>
        <w:ind w:hanging="283" w:left="3535"/>
      </w:pPr>
      <w:rPr/>
      <w:start w:val="1"/>
      <w:suff w:val="tab"/>
    </w:lvl>
    <w:lvl w:ilvl="5">
      <w:isLgl w:val="false"/>
      <w:lvlJc w:val="left"/>
      <w:lvlText w:val="%6."/>
      <w:numFmt w:val="decimal"/>
      <w:pPr>
        <w:pBdr/>
        <w:tabs>
          <w:tab w:val="num" w:leader="none" w:pos="4242"/>
        </w:tabs>
        <w:spacing/>
        <w:ind w:hanging="283" w:left="4242"/>
      </w:pPr>
      <w:rPr/>
      <w:start w:val="1"/>
      <w:suff w:val="tab"/>
    </w:lvl>
    <w:lvl w:ilvl="6">
      <w:isLgl w:val="false"/>
      <w:lvlJc w:val="left"/>
      <w:lvlText w:val="%7."/>
      <w:numFmt w:val="decimal"/>
      <w:pPr>
        <w:pBdr/>
        <w:tabs>
          <w:tab w:val="num" w:leader="none" w:pos="4949"/>
        </w:tabs>
        <w:spacing/>
        <w:ind w:hanging="283" w:left="4949"/>
      </w:pPr>
      <w:rPr/>
      <w:start w:val="1"/>
      <w:suff w:val="tab"/>
    </w:lvl>
    <w:lvl w:ilvl="7">
      <w:isLgl w:val="false"/>
      <w:lvlJc w:val="left"/>
      <w:lvlText w:val="%8."/>
      <w:numFmt w:val="decimal"/>
      <w:pPr>
        <w:pBdr/>
        <w:tabs>
          <w:tab w:val="num" w:leader="none" w:pos="5656"/>
        </w:tabs>
        <w:spacing/>
        <w:ind w:hanging="283" w:left="5656"/>
      </w:pPr>
      <w:rPr/>
      <w:start w:val="1"/>
      <w:suff w:val="tab"/>
    </w:lvl>
    <w:lvl w:ilvl="8">
      <w:isLgl w:val="false"/>
      <w:lvlJc w:val="left"/>
      <w:lvlText w:val="%9."/>
      <w:numFmt w:val="decimal"/>
      <w:pPr>
        <w:pBdr/>
        <w:tabs>
          <w:tab w:val="num" w:leader="none" w:pos="6363"/>
        </w:tabs>
        <w:spacing/>
        <w:ind w:hanging="283" w:left="6363"/>
      </w:pPr>
      <w:rPr/>
      <w:start w:val="1"/>
      <w:suff w:val="tab"/>
    </w:lvl>
  </w:abstractNum>
  <w:abstractNum w:abstractNumId="6">
    <w:nsid w:val="571E65E3"/>
    <w:lvl w:ilvl="0">
      <w:isLgl w:val="false"/>
      <w:lvlJc w:val="left"/>
      <w:lvlText w:val=""/>
      <w:numFmt w:val="bullet"/>
      <w:pPr>
        <w:pBdr/>
        <w:tabs>
          <w:tab w:val="num" w:leader="none" w:pos="360"/>
        </w:tabs>
        <w:spacing/>
        <w:ind w:hanging="360" w:left="360"/>
      </w:pPr>
      <w:pStyle w:val="1018"/>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7">
    <w:nsid w:val="7603107F"/>
    <w:lvl w:ilvl="0">
      <w:isLgl w:val="false"/>
      <w:lvlJc w:val="left"/>
      <w:lvlText w:val="-"/>
      <w:numFmt w:val="bullet"/>
      <w:pPr>
        <w:pBdr/>
        <w:spacing/>
        <w:ind w:hanging="360" w:left="720"/>
      </w:pPr>
      <w:rPr>
        <w:rFonts w:hint="default" w:ascii="Corbel" w:hAnsi="Corbel" w:cs="Corbe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cs="Wingdings"/>
      </w:rPr>
      <w:start w:val="1"/>
      <w:suff w:val="tab"/>
    </w:lvl>
    <w:lvl w:ilvl="3">
      <w:isLgl w:val="false"/>
      <w:lvlJc w:val="left"/>
      <w:lvlText w:val=""/>
      <w:numFmt w:val="bullet"/>
      <w:pPr>
        <w:pBdr/>
        <w:spacing/>
        <w:ind w:hanging="360" w:left="2880"/>
      </w:pPr>
      <w:rPr>
        <w:rFonts w:hint="default" w:ascii="Symbol" w:hAnsi="Symbol" w:cs="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cs="Wingdings"/>
      </w:rPr>
      <w:start w:val="1"/>
      <w:suff w:val="tab"/>
    </w:lvl>
    <w:lvl w:ilvl="6">
      <w:isLgl w:val="false"/>
      <w:lvlJc w:val="left"/>
      <w:lvlText w:val=""/>
      <w:numFmt w:val="bullet"/>
      <w:pPr>
        <w:pBdr/>
        <w:spacing/>
        <w:ind w:hanging="360" w:left="5040"/>
      </w:pPr>
      <w:rPr>
        <w:rFonts w:hint="default" w:ascii="Symbol" w:hAnsi="Symbol" w:cs="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cs="Wingdings"/>
      </w:rPr>
      <w:start w:val="1"/>
      <w:suff w:val="tab"/>
    </w:lvl>
  </w:abstractNum>
  <w:abstractNum w:abstractNumId="8">
    <w:nsid w:val="7ABE2D88"/>
    <w:lvl w:ilvl="0">
      <w:isLgl w:val="false"/>
      <w:lvlJc w:val="left"/>
      <w:lvlText w:val="-"/>
      <w:numFmt w:val="bullet"/>
      <w:pPr>
        <w:pBdr/>
        <w:spacing/>
        <w:ind w:hanging="360" w:left="720"/>
      </w:pPr>
      <w:rPr>
        <w:rFonts w:hint="default" w:ascii="Corbel" w:hAnsi="Corbel" w:cs="Corbel"/>
      </w:rPr>
      <w:start w:val="1"/>
      <w:suff w:val="tab"/>
    </w:lvl>
    <w:lvl w:ilvl="1">
      <w:isLgl w:val="false"/>
      <w:lvlJc w:val="left"/>
      <w:lvlText w:val=""/>
      <w:numFmt w:val="bullet"/>
      <w:pPr>
        <w:pBdr/>
        <w:spacing/>
        <w:ind w:hanging="360" w:left="1440"/>
      </w:pPr>
      <w:rPr>
        <w:rFonts w:hint="default" w:ascii="Wingdings" w:hAnsi="Wingdings" w:cs="Wingdings"/>
      </w:rPr>
      <w:start w:val="1"/>
      <w:suff w:val="tab"/>
    </w:lvl>
    <w:lvl w:ilvl="2">
      <w:isLgl w:val="false"/>
      <w:lvlJc w:val="left"/>
      <w:lvlText w:val=""/>
      <w:numFmt w:val="bullet"/>
      <w:pPr>
        <w:pBdr/>
        <w:spacing/>
        <w:ind w:hanging="360" w:left="2160"/>
      </w:pPr>
      <w:rPr>
        <w:rFonts w:hint="default" w:ascii="Wingdings" w:hAnsi="Wingdings" w:cs="Wingdings"/>
      </w:rPr>
      <w:start w:val="1"/>
      <w:suff w:val="tab"/>
    </w:lvl>
    <w:lvl w:ilvl="3">
      <w:isLgl w:val="false"/>
      <w:lvlJc w:val="left"/>
      <w:lvlText w:val=""/>
      <w:numFmt w:val="bullet"/>
      <w:pPr>
        <w:pBdr/>
        <w:spacing/>
        <w:ind w:hanging="360" w:left="2880"/>
      </w:pPr>
      <w:rPr>
        <w:rFonts w:hint="default" w:ascii="Symbol" w:hAnsi="Symbol" w:cs="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cs="Wingdings"/>
      </w:rPr>
      <w:start w:val="1"/>
      <w:suff w:val="tab"/>
    </w:lvl>
    <w:lvl w:ilvl="6">
      <w:isLgl w:val="false"/>
      <w:lvlJc w:val="left"/>
      <w:lvlText w:val=""/>
      <w:numFmt w:val="bullet"/>
      <w:pPr>
        <w:pBdr/>
        <w:spacing/>
        <w:ind w:hanging="360" w:left="5040"/>
      </w:pPr>
      <w:rPr>
        <w:rFonts w:hint="default" w:ascii="Symbol" w:hAnsi="Symbol" w:cs="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cs="Wingdings"/>
      </w:rPr>
      <w:start w:val="1"/>
      <w:suff w:val="tab"/>
    </w:lvl>
  </w:abstractNum>
  <w:abstractNum w:abstractNumId="9">
    <w:nsid w:val="7F7207EE"/>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6"/>
  </w:num>
  <w:num w:numId="2">
    <w:abstractNumId w:val="0"/>
  </w:num>
  <w:num w:numId="3">
    <w:abstractNumId w:val="9"/>
  </w:num>
  <w:num w:numId="4">
    <w:abstractNumId w:val="3"/>
  </w:num>
  <w:num w:numId="5">
    <w:abstractNumId w:val="1"/>
  </w:num>
  <w:num w:numId="6">
    <w:abstractNumId w:val="4"/>
  </w:num>
  <w:num w:numId="7">
    <w:abstractNumId w:val="7"/>
  </w:num>
  <w:num w:numId="8">
    <w:abstractNumId w:val="8"/>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15">
    <w:name w:val="Intense Emphasis"/>
    <w:basedOn w:val="830"/>
    <w:uiPriority w:val="21"/>
    <w:qFormat/>
    <w:pPr>
      <w:pBdr/>
      <w:spacing/>
      <w:ind/>
    </w:pPr>
    <w:rPr>
      <w:i/>
      <w:iCs/>
      <w:color w:val="0f4761" w:themeColor="accent1" w:themeShade="BF"/>
    </w:rPr>
  </w:style>
  <w:style w:type="character" w:styleId="816">
    <w:name w:val="Intense Reference"/>
    <w:basedOn w:val="830"/>
    <w:uiPriority w:val="32"/>
    <w:qFormat/>
    <w:pPr>
      <w:pBdr/>
      <w:spacing/>
      <w:ind/>
    </w:pPr>
    <w:rPr>
      <w:b/>
      <w:bCs/>
      <w:smallCaps/>
      <w:color w:val="0f4761" w:themeColor="accent1" w:themeShade="BF"/>
      <w:spacing w:val="5"/>
    </w:rPr>
  </w:style>
  <w:style w:type="character" w:styleId="817">
    <w:name w:val="Subtle Emphasis"/>
    <w:basedOn w:val="830"/>
    <w:uiPriority w:val="19"/>
    <w:qFormat/>
    <w:pPr>
      <w:pBdr/>
      <w:spacing/>
      <w:ind/>
    </w:pPr>
    <w:rPr>
      <w:i/>
      <w:iCs/>
      <w:color w:val="404040" w:themeColor="text1" w:themeTint="BF"/>
    </w:rPr>
  </w:style>
  <w:style w:type="character" w:styleId="818">
    <w:name w:val="Subtle Reference"/>
    <w:basedOn w:val="830"/>
    <w:uiPriority w:val="31"/>
    <w:qFormat/>
    <w:pPr>
      <w:pBdr/>
      <w:spacing/>
      <w:ind/>
    </w:pPr>
    <w:rPr>
      <w:smallCaps/>
      <w:color w:val="5a5a5a" w:themeColor="text1" w:themeTint="A5"/>
    </w:rPr>
  </w:style>
  <w:style w:type="character" w:styleId="819">
    <w:name w:val="Book Title"/>
    <w:basedOn w:val="830"/>
    <w:uiPriority w:val="33"/>
    <w:qFormat/>
    <w:pPr>
      <w:pBdr/>
      <w:spacing/>
      <w:ind/>
    </w:pPr>
    <w:rPr>
      <w:b/>
      <w:bCs/>
      <w:i/>
      <w:iCs/>
      <w:spacing w:val="5"/>
    </w:rPr>
  </w:style>
  <w:style w:type="paragraph" w:styleId="820" w:default="1">
    <w:name w:val="Normal"/>
    <w:qFormat/>
    <w:pPr>
      <w:pBdr/>
      <w:spacing/>
      <w:ind/>
      <w:jc w:val="both"/>
    </w:pPr>
    <w:rPr>
      <w:color w:val="03156c" w:themeColor="accent3" w:themeShade="80"/>
      <w:sz w:val="24"/>
      <w:lang w:val="en-GB"/>
    </w:rPr>
  </w:style>
  <w:style w:type="paragraph" w:styleId="821">
    <w:name w:val="Heading 1"/>
    <w:basedOn w:val="820"/>
    <w:next w:val="820"/>
    <w:link w:val="1004"/>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22">
    <w:name w:val="Heading 2"/>
    <w:basedOn w:val="820"/>
    <w:next w:val="820"/>
    <w:link w:val="1011"/>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23">
    <w:name w:val="Heading 3"/>
    <w:basedOn w:val="820"/>
    <w:next w:val="820"/>
    <w:link w:val="846"/>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24">
    <w:name w:val="Heading 4"/>
    <w:basedOn w:val="820"/>
    <w:next w:val="820"/>
    <w:link w:val="847"/>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25">
    <w:name w:val="Heading 5"/>
    <w:basedOn w:val="820"/>
    <w:next w:val="820"/>
    <w:link w:val="848"/>
    <w:uiPriority w:val="9"/>
    <w:unhideWhenUsed/>
    <w:qFormat/>
    <w:pPr>
      <w:keepNext w:val="true"/>
      <w:keepLines w:val="true"/>
      <w:pBdr/>
      <w:spacing w:after="200" w:before="320"/>
      <w:ind/>
      <w:outlineLvl w:val="4"/>
    </w:pPr>
    <w:rPr>
      <w:rFonts w:ascii="Arial" w:hAnsi="Arial" w:eastAsia="Arial" w:cs="Arial"/>
      <w:b/>
      <w:bCs/>
      <w:szCs w:val="24"/>
    </w:rPr>
  </w:style>
  <w:style w:type="paragraph" w:styleId="826">
    <w:name w:val="Heading 6"/>
    <w:basedOn w:val="820"/>
    <w:next w:val="820"/>
    <w:link w:val="849"/>
    <w:uiPriority w:val="9"/>
    <w:unhideWhenUsed/>
    <w:qFormat/>
    <w:pPr>
      <w:keepNext w:val="true"/>
      <w:keepLines w:val="true"/>
      <w:pBdr/>
      <w:spacing w:after="200" w:before="320"/>
      <w:ind/>
      <w:outlineLvl w:val="5"/>
    </w:pPr>
    <w:rPr>
      <w:rFonts w:ascii="Arial" w:hAnsi="Arial" w:eastAsia="Arial" w:cs="Arial"/>
      <w:b/>
      <w:bCs/>
      <w:sz w:val="22"/>
    </w:rPr>
  </w:style>
  <w:style w:type="paragraph" w:styleId="827">
    <w:name w:val="Heading 7"/>
    <w:basedOn w:val="820"/>
    <w:next w:val="820"/>
    <w:link w:val="850"/>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28">
    <w:name w:val="Heading 8"/>
    <w:basedOn w:val="820"/>
    <w:next w:val="820"/>
    <w:link w:val="851"/>
    <w:uiPriority w:val="9"/>
    <w:unhideWhenUsed/>
    <w:qFormat/>
    <w:pPr>
      <w:keepNext w:val="true"/>
      <w:keepLines w:val="true"/>
      <w:pBdr/>
      <w:spacing w:after="200" w:before="320"/>
      <w:ind/>
      <w:outlineLvl w:val="7"/>
    </w:pPr>
    <w:rPr>
      <w:rFonts w:ascii="Arial" w:hAnsi="Arial" w:eastAsia="Arial" w:cs="Arial"/>
      <w:i/>
      <w:iCs/>
      <w:sz w:val="22"/>
    </w:rPr>
  </w:style>
  <w:style w:type="paragraph" w:styleId="829">
    <w:name w:val="Heading 9"/>
    <w:basedOn w:val="820"/>
    <w:next w:val="820"/>
    <w:link w:val="852"/>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30" w:default="1">
    <w:name w:val="Default Paragraph Font"/>
    <w:uiPriority w:val="1"/>
    <w:semiHidden/>
    <w:unhideWhenUsed/>
    <w:pPr>
      <w:pBdr/>
      <w:spacing/>
      <w:ind/>
    </w:pPr>
  </w:style>
  <w:style w:type="table" w:styleId="83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32" w:default="1">
    <w:name w:val="No List"/>
    <w:uiPriority w:val="99"/>
    <w:semiHidden/>
    <w:unhideWhenUsed/>
    <w:pPr>
      <w:pBdr/>
      <w:spacing/>
      <w:ind/>
    </w:pPr>
  </w:style>
  <w:style w:type="character" w:styleId="833" w:customStyle="1">
    <w:name w:val="Heading 3 Char"/>
    <w:basedOn w:val="830"/>
    <w:uiPriority w:val="9"/>
    <w:pPr>
      <w:pBdr/>
      <w:spacing/>
      <w:ind/>
    </w:pPr>
    <w:rPr>
      <w:rFonts w:ascii="Arial" w:hAnsi="Arial" w:eastAsia="Arial" w:cs="Arial"/>
      <w:sz w:val="30"/>
      <w:szCs w:val="30"/>
    </w:rPr>
  </w:style>
  <w:style w:type="character" w:styleId="834" w:customStyle="1">
    <w:name w:val="Heading 4 Char"/>
    <w:basedOn w:val="830"/>
    <w:uiPriority w:val="9"/>
    <w:pPr>
      <w:pBdr/>
      <w:spacing/>
      <w:ind/>
    </w:pPr>
    <w:rPr>
      <w:rFonts w:ascii="Arial" w:hAnsi="Arial" w:eastAsia="Arial" w:cs="Arial"/>
      <w:b/>
      <w:bCs/>
      <w:sz w:val="26"/>
      <w:szCs w:val="26"/>
    </w:rPr>
  </w:style>
  <w:style w:type="character" w:styleId="835" w:customStyle="1">
    <w:name w:val="Heading 5 Char"/>
    <w:basedOn w:val="830"/>
    <w:uiPriority w:val="9"/>
    <w:pPr>
      <w:pBdr/>
      <w:spacing/>
      <w:ind/>
    </w:pPr>
    <w:rPr>
      <w:rFonts w:ascii="Arial" w:hAnsi="Arial" w:eastAsia="Arial" w:cs="Arial"/>
      <w:b/>
      <w:bCs/>
      <w:sz w:val="24"/>
      <w:szCs w:val="24"/>
    </w:rPr>
  </w:style>
  <w:style w:type="character" w:styleId="836" w:customStyle="1">
    <w:name w:val="Heading 6 Char"/>
    <w:basedOn w:val="830"/>
    <w:uiPriority w:val="9"/>
    <w:pPr>
      <w:pBdr/>
      <w:spacing/>
      <w:ind/>
    </w:pPr>
    <w:rPr>
      <w:rFonts w:ascii="Arial" w:hAnsi="Arial" w:eastAsia="Arial" w:cs="Arial"/>
      <w:b/>
      <w:bCs/>
      <w:sz w:val="22"/>
      <w:szCs w:val="22"/>
    </w:rPr>
  </w:style>
  <w:style w:type="character" w:styleId="837" w:customStyle="1">
    <w:name w:val="Heading 7 Char"/>
    <w:basedOn w:val="830"/>
    <w:uiPriority w:val="9"/>
    <w:pPr>
      <w:pBdr/>
      <w:spacing/>
      <w:ind/>
    </w:pPr>
    <w:rPr>
      <w:rFonts w:ascii="Arial" w:hAnsi="Arial" w:eastAsia="Arial" w:cs="Arial"/>
      <w:b/>
      <w:bCs/>
      <w:i/>
      <w:iCs/>
      <w:sz w:val="22"/>
      <w:szCs w:val="22"/>
    </w:rPr>
  </w:style>
  <w:style w:type="character" w:styleId="838" w:customStyle="1">
    <w:name w:val="Heading 8 Char"/>
    <w:basedOn w:val="830"/>
    <w:uiPriority w:val="9"/>
    <w:pPr>
      <w:pBdr/>
      <w:spacing/>
      <w:ind/>
    </w:pPr>
    <w:rPr>
      <w:rFonts w:ascii="Arial" w:hAnsi="Arial" w:eastAsia="Arial" w:cs="Arial"/>
      <w:i/>
      <w:iCs/>
      <w:sz w:val="22"/>
      <w:szCs w:val="22"/>
    </w:rPr>
  </w:style>
  <w:style w:type="character" w:styleId="839" w:customStyle="1">
    <w:name w:val="Heading 9 Char"/>
    <w:basedOn w:val="830"/>
    <w:uiPriority w:val="9"/>
    <w:pPr>
      <w:pBdr/>
      <w:spacing/>
      <w:ind/>
    </w:pPr>
    <w:rPr>
      <w:rFonts w:ascii="Arial" w:hAnsi="Arial" w:eastAsia="Arial" w:cs="Arial"/>
      <w:i/>
      <w:iCs/>
      <w:sz w:val="21"/>
      <w:szCs w:val="21"/>
    </w:rPr>
  </w:style>
  <w:style w:type="character" w:styleId="840" w:customStyle="1">
    <w:name w:val="Quote Char"/>
    <w:uiPriority w:val="29"/>
    <w:pPr>
      <w:pBdr/>
      <w:spacing/>
      <w:ind/>
    </w:pPr>
    <w:rPr>
      <w:i/>
    </w:rPr>
  </w:style>
  <w:style w:type="character" w:styleId="841" w:customStyle="1">
    <w:name w:val="Intense Quote Char"/>
    <w:uiPriority w:val="30"/>
    <w:pPr>
      <w:pBdr/>
      <w:spacing/>
      <w:ind/>
    </w:pPr>
    <w:rPr>
      <w:i/>
    </w:rPr>
  </w:style>
  <w:style w:type="character" w:styleId="842" w:customStyle="1">
    <w:name w:val="Footnote Text Char"/>
    <w:uiPriority w:val="99"/>
    <w:pPr>
      <w:pBdr/>
      <w:spacing/>
      <w:ind/>
    </w:pPr>
    <w:rPr>
      <w:sz w:val="18"/>
    </w:rPr>
  </w:style>
  <w:style w:type="character" w:styleId="843" w:customStyle="1">
    <w:name w:val="Endnote Text Char"/>
    <w:uiPriority w:val="99"/>
    <w:pPr>
      <w:pBdr/>
      <w:spacing/>
      <w:ind/>
    </w:pPr>
    <w:rPr>
      <w:sz w:val="20"/>
    </w:rPr>
  </w:style>
  <w:style w:type="character" w:styleId="844" w:customStyle="1">
    <w:name w:val="Heading 1 Char"/>
    <w:basedOn w:val="830"/>
    <w:uiPriority w:val="9"/>
    <w:pPr>
      <w:pBdr/>
      <w:spacing/>
      <w:ind/>
    </w:pPr>
    <w:rPr>
      <w:rFonts w:ascii="Arial" w:hAnsi="Arial" w:eastAsia="Arial" w:cs="Arial"/>
      <w:sz w:val="40"/>
      <w:szCs w:val="40"/>
    </w:rPr>
  </w:style>
  <w:style w:type="character" w:styleId="845" w:customStyle="1">
    <w:name w:val="Heading 2 Char"/>
    <w:basedOn w:val="830"/>
    <w:uiPriority w:val="9"/>
    <w:pPr>
      <w:pBdr/>
      <w:spacing/>
      <w:ind/>
    </w:pPr>
    <w:rPr>
      <w:rFonts w:ascii="Arial" w:hAnsi="Arial" w:eastAsia="Arial" w:cs="Arial"/>
      <w:sz w:val="34"/>
    </w:rPr>
  </w:style>
  <w:style w:type="character" w:styleId="846" w:customStyle="1">
    <w:name w:val="Título 3 Car"/>
    <w:basedOn w:val="830"/>
    <w:link w:val="823"/>
    <w:uiPriority w:val="9"/>
    <w:pPr>
      <w:pBdr/>
      <w:spacing/>
      <w:ind/>
    </w:pPr>
    <w:rPr>
      <w:rFonts w:ascii="Arial" w:hAnsi="Arial" w:eastAsia="Arial" w:cs="Arial"/>
      <w:sz w:val="30"/>
      <w:szCs w:val="30"/>
    </w:rPr>
  </w:style>
  <w:style w:type="character" w:styleId="847" w:customStyle="1">
    <w:name w:val="Título 4 Car"/>
    <w:basedOn w:val="830"/>
    <w:link w:val="824"/>
    <w:uiPriority w:val="9"/>
    <w:pPr>
      <w:pBdr/>
      <w:spacing/>
      <w:ind/>
    </w:pPr>
    <w:rPr>
      <w:rFonts w:ascii="Arial" w:hAnsi="Arial" w:eastAsia="Arial" w:cs="Arial"/>
      <w:b/>
      <w:bCs/>
      <w:sz w:val="26"/>
      <w:szCs w:val="26"/>
    </w:rPr>
  </w:style>
  <w:style w:type="character" w:styleId="848" w:customStyle="1">
    <w:name w:val="Título 5 Car"/>
    <w:basedOn w:val="830"/>
    <w:link w:val="825"/>
    <w:uiPriority w:val="9"/>
    <w:pPr>
      <w:pBdr/>
      <w:spacing/>
      <w:ind/>
    </w:pPr>
    <w:rPr>
      <w:rFonts w:ascii="Arial" w:hAnsi="Arial" w:eastAsia="Arial" w:cs="Arial"/>
      <w:b/>
      <w:bCs/>
      <w:sz w:val="24"/>
      <w:szCs w:val="24"/>
    </w:rPr>
  </w:style>
  <w:style w:type="character" w:styleId="849" w:customStyle="1">
    <w:name w:val="Título 6 Car"/>
    <w:basedOn w:val="830"/>
    <w:link w:val="826"/>
    <w:uiPriority w:val="9"/>
    <w:pPr>
      <w:pBdr/>
      <w:spacing/>
      <w:ind/>
    </w:pPr>
    <w:rPr>
      <w:rFonts w:ascii="Arial" w:hAnsi="Arial" w:eastAsia="Arial" w:cs="Arial"/>
      <w:b/>
      <w:bCs/>
      <w:sz w:val="22"/>
      <w:szCs w:val="22"/>
    </w:rPr>
  </w:style>
  <w:style w:type="character" w:styleId="850" w:customStyle="1">
    <w:name w:val="Título 7 Car"/>
    <w:basedOn w:val="830"/>
    <w:link w:val="827"/>
    <w:uiPriority w:val="9"/>
    <w:pPr>
      <w:pBdr/>
      <w:spacing/>
      <w:ind/>
    </w:pPr>
    <w:rPr>
      <w:rFonts w:ascii="Arial" w:hAnsi="Arial" w:eastAsia="Arial" w:cs="Arial"/>
      <w:b/>
      <w:bCs/>
      <w:i/>
      <w:iCs/>
      <w:sz w:val="22"/>
      <w:szCs w:val="22"/>
    </w:rPr>
  </w:style>
  <w:style w:type="character" w:styleId="851" w:customStyle="1">
    <w:name w:val="Título 8 Car"/>
    <w:basedOn w:val="830"/>
    <w:link w:val="828"/>
    <w:uiPriority w:val="9"/>
    <w:pPr>
      <w:pBdr/>
      <w:spacing/>
      <w:ind/>
    </w:pPr>
    <w:rPr>
      <w:rFonts w:ascii="Arial" w:hAnsi="Arial" w:eastAsia="Arial" w:cs="Arial"/>
      <w:i/>
      <w:iCs/>
      <w:sz w:val="22"/>
      <w:szCs w:val="22"/>
    </w:rPr>
  </w:style>
  <w:style w:type="character" w:styleId="852" w:customStyle="1">
    <w:name w:val="Título 9 Car"/>
    <w:basedOn w:val="830"/>
    <w:link w:val="829"/>
    <w:uiPriority w:val="9"/>
    <w:pPr>
      <w:pBdr/>
      <w:spacing/>
      <w:ind/>
    </w:pPr>
    <w:rPr>
      <w:rFonts w:ascii="Arial" w:hAnsi="Arial" w:eastAsia="Arial" w:cs="Arial"/>
      <w:i/>
      <w:iCs/>
      <w:sz w:val="21"/>
      <w:szCs w:val="21"/>
    </w:rPr>
  </w:style>
  <w:style w:type="paragraph" w:styleId="853">
    <w:name w:val="No Spacing"/>
    <w:uiPriority w:val="1"/>
    <w:qFormat/>
    <w:pPr>
      <w:pBdr/>
      <w:spacing w:after="0" w:line="240" w:lineRule="auto"/>
      <w:ind/>
    </w:pPr>
  </w:style>
  <w:style w:type="character" w:styleId="854" w:customStyle="1">
    <w:name w:val="Title Char"/>
    <w:basedOn w:val="830"/>
    <w:uiPriority w:val="10"/>
    <w:pPr>
      <w:pBdr/>
      <w:spacing/>
      <w:ind/>
    </w:pPr>
    <w:rPr>
      <w:sz w:val="48"/>
      <w:szCs w:val="48"/>
    </w:rPr>
  </w:style>
  <w:style w:type="character" w:styleId="855" w:customStyle="1">
    <w:name w:val="Subtitle Char"/>
    <w:basedOn w:val="830"/>
    <w:uiPriority w:val="11"/>
    <w:pPr>
      <w:pBdr/>
      <w:spacing/>
      <w:ind/>
    </w:pPr>
    <w:rPr>
      <w:sz w:val="24"/>
      <w:szCs w:val="24"/>
    </w:rPr>
  </w:style>
  <w:style w:type="paragraph" w:styleId="856">
    <w:name w:val="Quote"/>
    <w:basedOn w:val="820"/>
    <w:next w:val="820"/>
    <w:link w:val="857"/>
    <w:uiPriority w:val="29"/>
    <w:qFormat/>
    <w:pPr>
      <w:pBdr/>
      <w:spacing/>
      <w:ind w:right="720" w:left="720"/>
    </w:pPr>
    <w:rPr>
      <w:i/>
    </w:rPr>
  </w:style>
  <w:style w:type="character" w:styleId="857" w:customStyle="1">
    <w:name w:val="Cita Car"/>
    <w:link w:val="856"/>
    <w:uiPriority w:val="29"/>
    <w:pPr>
      <w:pBdr/>
      <w:spacing/>
      <w:ind/>
    </w:pPr>
    <w:rPr>
      <w:i/>
    </w:rPr>
  </w:style>
  <w:style w:type="paragraph" w:styleId="858">
    <w:name w:val="Intense Quote"/>
    <w:basedOn w:val="820"/>
    <w:next w:val="820"/>
    <w:link w:val="859"/>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859" w:customStyle="1">
    <w:name w:val="Cita destacada Car"/>
    <w:link w:val="858"/>
    <w:uiPriority w:val="30"/>
    <w:pPr>
      <w:pBdr/>
      <w:spacing/>
      <w:ind/>
    </w:pPr>
    <w:rPr>
      <w:i/>
    </w:rPr>
  </w:style>
  <w:style w:type="character" w:styleId="860" w:customStyle="1">
    <w:name w:val="Header Char"/>
    <w:basedOn w:val="830"/>
    <w:uiPriority w:val="99"/>
    <w:pPr>
      <w:pBdr/>
      <w:spacing/>
      <w:ind/>
    </w:pPr>
  </w:style>
  <w:style w:type="character" w:styleId="861" w:customStyle="1">
    <w:name w:val="Footer Char"/>
    <w:basedOn w:val="830"/>
    <w:uiPriority w:val="99"/>
    <w:pPr>
      <w:pBdr/>
      <w:spacing/>
      <w:ind/>
    </w:pPr>
  </w:style>
  <w:style w:type="paragraph" w:styleId="862">
    <w:name w:val="Caption"/>
    <w:basedOn w:val="820"/>
    <w:next w:val="820"/>
    <w:uiPriority w:val="35"/>
    <w:semiHidden/>
    <w:unhideWhenUsed/>
    <w:qFormat/>
    <w:pPr>
      <w:pBdr/>
      <w:spacing w:line="276" w:lineRule="auto"/>
      <w:ind/>
    </w:pPr>
    <w:rPr>
      <w:b/>
      <w:bCs/>
      <w:color w:val="072bd9" w:themeColor="accent1"/>
      <w:sz w:val="18"/>
      <w:szCs w:val="18"/>
    </w:rPr>
  </w:style>
  <w:style w:type="character" w:styleId="863" w:customStyle="1">
    <w:name w:val="Caption Char"/>
    <w:uiPriority w:val="99"/>
    <w:pPr>
      <w:pBdr/>
      <w:spacing/>
      <w:ind/>
    </w:pPr>
  </w:style>
  <w:style w:type="table" w:styleId="864" w:customStyle="1">
    <w:name w:val="Table Grid Light"/>
    <w:basedOn w:val="831"/>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Plain Table 1"/>
    <w:basedOn w:val="831"/>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Plain Table 2"/>
    <w:basedOn w:val="831"/>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Plain Table 3"/>
    <w:basedOn w:val="83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Plain Table 4"/>
    <w:basedOn w:val="83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Plain Table 5"/>
    <w:basedOn w:val="83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w:basedOn w:val="831"/>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customStyle="1">
    <w:name w:val="Grid Table 1 Light - Accent 1"/>
    <w:basedOn w:val="831"/>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customStyle="1">
    <w:name w:val="Grid Table 1 Light - Accent 2"/>
    <w:basedOn w:val="831"/>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customStyle="1">
    <w:name w:val="Grid Table 1 Light - Accent 3"/>
    <w:basedOn w:val="831"/>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Grid Table 1 Light - Accent 4"/>
    <w:basedOn w:val="831"/>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customStyle="1">
    <w:name w:val="Grid Table 1 Light - Accent 5"/>
    <w:basedOn w:val="831"/>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customStyle="1">
    <w:name w:val="Grid Table 1 Light - Accent 6"/>
    <w:basedOn w:val="831"/>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w:basedOn w:val="831"/>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Grid Table 2 - Accent 1"/>
    <w:basedOn w:val="831"/>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customStyle="1">
    <w:name w:val="Grid Table 2 - Accent 2"/>
    <w:basedOn w:val="831"/>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customStyle="1">
    <w:name w:val="Grid Table 2 - Accent 3"/>
    <w:basedOn w:val="831"/>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customStyle="1">
    <w:name w:val="Grid Table 2 - Accent 4"/>
    <w:basedOn w:val="831"/>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customStyle="1">
    <w:name w:val="Grid Table 2 - Accent 5"/>
    <w:basedOn w:val="831"/>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customStyle="1">
    <w:name w:val="Grid Table 2 - Accent 6"/>
    <w:basedOn w:val="831"/>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w:basedOn w:val="831"/>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customStyle="1">
    <w:name w:val="Grid Table 3 - Accent 1"/>
    <w:basedOn w:val="831"/>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customStyle="1">
    <w:name w:val="Grid Table 3 - Accent 2"/>
    <w:basedOn w:val="831"/>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customStyle="1">
    <w:name w:val="Grid Table 3 - Accent 3"/>
    <w:basedOn w:val="831"/>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customStyle="1">
    <w:name w:val="Grid Table 3 - Accent 4"/>
    <w:basedOn w:val="831"/>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customStyle="1">
    <w:name w:val="Grid Table 3 - Accent 5"/>
    <w:basedOn w:val="831"/>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customStyle="1">
    <w:name w:val="Grid Table 3 - Accent 6"/>
    <w:basedOn w:val="831"/>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w:basedOn w:val="831"/>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customStyle="1">
    <w:name w:val="Grid Table 4 - Accent 1"/>
    <w:basedOn w:val="831"/>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customStyle="1">
    <w:name w:val="Grid Table 4 - Accent 2"/>
    <w:basedOn w:val="831"/>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customStyle="1">
    <w:name w:val="Grid Table 4 - Accent 3"/>
    <w:basedOn w:val="831"/>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customStyle="1">
    <w:name w:val="Grid Table 4 - Accent 4"/>
    <w:basedOn w:val="831"/>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customStyle="1">
    <w:name w:val="Grid Table 4 - Accent 5"/>
    <w:basedOn w:val="831"/>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customStyle="1">
    <w:name w:val="Grid Table 4 - Accent 6"/>
    <w:basedOn w:val="831"/>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5 Dark"/>
    <w:basedOn w:val="83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customStyle="1">
    <w:name w:val="Grid Table 5 Dark- Accent 1"/>
    <w:basedOn w:val="83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customStyle="1">
    <w:name w:val="Grid Table 5 Dark - Accent 2"/>
    <w:basedOn w:val="83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customStyle="1">
    <w:name w:val="Grid Table 5 Dark - Accent 3"/>
    <w:basedOn w:val="83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customStyle="1">
    <w:name w:val="Grid Table 5 Dark- Accent 4"/>
    <w:basedOn w:val="83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customStyle="1">
    <w:name w:val="Grid Table 5 Dark - Accent 5"/>
    <w:basedOn w:val="83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customStyle="1">
    <w:name w:val="Grid Table 5 Dark - Accent 6"/>
    <w:basedOn w:val="83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6 Colorful"/>
    <w:basedOn w:val="831"/>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customStyle="1">
    <w:name w:val="Grid Table 6 Colorful - Accent 1"/>
    <w:basedOn w:val="831"/>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Grid Table 6 Colorful - Accent 2"/>
    <w:basedOn w:val="831"/>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Grid Table 6 Colorful - Accent 3"/>
    <w:basedOn w:val="831"/>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Grid Table 6 Colorful - Accent 4"/>
    <w:basedOn w:val="831"/>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Grid Table 6 Colorful - Accent 5"/>
    <w:basedOn w:val="831"/>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customStyle="1">
    <w:name w:val="Grid Table 6 Colorful - Accent 6"/>
    <w:basedOn w:val="831"/>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7 Colorful"/>
    <w:basedOn w:val="831"/>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Grid Table 7 Colorful - Accent 1"/>
    <w:basedOn w:val="831"/>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Grid Table 7 Colorful - Accent 2"/>
    <w:basedOn w:val="831"/>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Grid Table 7 Colorful - Accent 3"/>
    <w:basedOn w:val="831"/>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7 Colorful - Accent 4"/>
    <w:basedOn w:val="831"/>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7 Colorful - Accent 5"/>
    <w:basedOn w:val="831"/>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Grid Table 7 Colorful - Accent 6"/>
    <w:basedOn w:val="831"/>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1 Light"/>
    <w:basedOn w:val="83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List Table 1 Light - Accent 1"/>
    <w:basedOn w:val="83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List Table 1 Light - Accent 2"/>
    <w:basedOn w:val="83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customStyle="1">
    <w:name w:val="List Table 1 Light - Accent 3"/>
    <w:basedOn w:val="83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List Table 1 Light - Accent 4"/>
    <w:basedOn w:val="83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List Table 1 Light - Accent 5"/>
    <w:basedOn w:val="83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List Table 1 Light - Accent 6"/>
    <w:basedOn w:val="83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2"/>
    <w:basedOn w:val="831"/>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List Table 2 - Accent 1"/>
    <w:basedOn w:val="831"/>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List Table 2 - Accent 2"/>
    <w:basedOn w:val="831"/>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List Table 2 - Accent 3"/>
    <w:basedOn w:val="831"/>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List Table 2 - Accent 4"/>
    <w:basedOn w:val="831"/>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List Table 2 - Accent 5"/>
    <w:basedOn w:val="831"/>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List Table 2 - Accent 6"/>
    <w:basedOn w:val="831"/>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3"/>
    <w:basedOn w:val="831"/>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List Table 3 - Accent 1"/>
    <w:basedOn w:val="831"/>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List Table 3 - Accent 2"/>
    <w:basedOn w:val="831"/>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List Table 3 - Accent 3"/>
    <w:basedOn w:val="831"/>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List Table 3 - Accent 4"/>
    <w:basedOn w:val="831"/>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List Table 3 - Accent 5"/>
    <w:basedOn w:val="831"/>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List Table 3 - Accent 6"/>
    <w:basedOn w:val="831"/>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4"/>
    <w:basedOn w:val="831"/>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List Table 4 - Accent 1"/>
    <w:basedOn w:val="831"/>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List Table 4 - Accent 2"/>
    <w:basedOn w:val="831"/>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List Table 4 - Accent 3"/>
    <w:basedOn w:val="831"/>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List Table 4 - Accent 4"/>
    <w:basedOn w:val="831"/>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List Table 4 - Accent 5"/>
    <w:basedOn w:val="831"/>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List Table 4 - Accent 6"/>
    <w:basedOn w:val="831"/>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5 Dark"/>
    <w:basedOn w:val="831"/>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List Table 5 Dark - Accent 1"/>
    <w:basedOn w:val="831"/>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List Table 5 Dark - Accent 2"/>
    <w:basedOn w:val="831"/>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List Table 5 Dark - Accent 3"/>
    <w:basedOn w:val="831"/>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List Table 5 Dark - Accent 4"/>
    <w:basedOn w:val="831"/>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List Table 5 Dark - Accent 5"/>
    <w:basedOn w:val="831"/>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List Table 5 Dark - Accent 6"/>
    <w:basedOn w:val="831"/>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6 Colorful"/>
    <w:basedOn w:val="831"/>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List Table 6 Colorful - Accent 1"/>
    <w:basedOn w:val="831"/>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List Table 6 Colorful - Accent 2"/>
    <w:basedOn w:val="831"/>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List Table 6 Colorful - Accent 3"/>
    <w:basedOn w:val="831"/>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List Table 6 Colorful - Accent 4"/>
    <w:basedOn w:val="831"/>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List Table 6 Colorful - Accent 5"/>
    <w:basedOn w:val="831"/>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List Table 6 Colorful - Accent 6"/>
    <w:basedOn w:val="831"/>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7 Colorful"/>
    <w:basedOn w:val="831"/>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List Table 7 Colorful - Accent 1"/>
    <w:basedOn w:val="831"/>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List Table 7 Colorful - Accent 2"/>
    <w:basedOn w:val="831"/>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List Table 7 Colorful - Accent 3"/>
    <w:basedOn w:val="831"/>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7 Colorful - Accent 4"/>
    <w:basedOn w:val="831"/>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7 Colorful - Accent 5"/>
    <w:basedOn w:val="831"/>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st Table 7 Colorful - Accent 6"/>
    <w:basedOn w:val="831"/>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ned - Accent"/>
    <w:basedOn w:val="83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ned - Accent 1"/>
    <w:basedOn w:val="83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ned - Accent 2"/>
    <w:basedOn w:val="83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Lined - Accent 3"/>
    <w:basedOn w:val="83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ned - Accent 4"/>
    <w:basedOn w:val="83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ned - Accent 5"/>
    <w:basedOn w:val="83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ned - Accent 6"/>
    <w:basedOn w:val="83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Bordered &amp; Lined - Accent"/>
    <w:basedOn w:val="831"/>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Bordered &amp; Lined - Accent 1"/>
    <w:basedOn w:val="831"/>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Bordered &amp; Lined - Accent 2"/>
    <w:basedOn w:val="831"/>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Bordered &amp; Lined - Accent 3"/>
    <w:basedOn w:val="831"/>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Bordered &amp; Lined - Accent 4"/>
    <w:basedOn w:val="831"/>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Bordered &amp; Lined - Accent 5"/>
    <w:basedOn w:val="831"/>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Bordered &amp; Lined - Accent 6"/>
    <w:basedOn w:val="831"/>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Bordered"/>
    <w:basedOn w:val="831"/>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Bordered - Accent 1"/>
    <w:basedOn w:val="831"/>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Bordered - Accent 2"/>
    <w:basedOn w:val="831"/>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Bordered - Accent 3"/>
    <w:basedOn w:val="831"/>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Bordered - Accent 4"/>
    <w:basedOn w:val="831"/>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Bordered - Accent 5"/>
    <w:basedOn w:val="831"/>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Bordered - Accent 6"/>
    <w:basedOn w:val="831"/>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9">
    <w:name w:val="footnote text"/>
    <w:basedOn w:val="820"/>
    <w:link w:val="990"/>
    <w:uiPriority w:val="99"/>
    <w:semiHidden/>
    <w:unhideWhenUsed/>
    <w:pPr>
      <w:pBdr/>
      <w:spacing w:after="40" w:line="240" w:lineRule="auto"/>
      <w:ind/>
    </w:pPr>
    <w:rPr>
      <w:sz w:val="18"/>
    </w:rPr>
  </w:style>
  <w:style w:type="character" w:styleId="990" w:customStyle="1">
    <w:name w:val="Texto nota pie Car"/>
    <w:link w:val="989"/>
    <w:uiPriority w:val="99"/>
    <w:pPr>
      <w:pBdr/>
      <w:spacing/>
      <w:ind/>
    </w:pPr>
    <w:rPr>
      <w:sz w:val="18"/>
    </w:rPr>
  </w:style>
  <w:style w:type="character" w:styleId="991">
    <w:name w:val="footnote reference"/>
    <w:basedOn w:val="830"/>
    <w:uiPriority w:val="99"/>
    <w:unhideWhenUsed/>
    <w:pPr>
      <w:pBdr/>
      <w:spacing/>
      <w:ind/>
    </w:pPr>
    <w:rPr>
      <w:vertAlign w:val="superscript"/>
    </w:rPr>
  </w:style>
  <w:style w:type="paragraph" w:styleId="992">
    <w:name w:val="endnote text"/>
    <w:basedOn w:val="820"/>
    <w:link w:val="993"/>
    <w:uiPriority w:val="99"/>
    <w:semiHidden/>
    <w:unhideWhenUsed/>
    <w:pPr>
      <w:pBdr/>
      <w:spacing w:after="0" w:line="240" w:lineRule="auto"/>
      <w:ind/>
    </w:pPr>
    <w:rPr>
      <w:sz w:val="20"/>
    </w:rPr>
  </w:style>
  <w:style w:type="character" w:styleId="993" w:customStyle="1">
    <w:name w:val="Texto nota al final Car"/>
    <w:link w:val="992"/>
    <w:uiPriority w:val="99"/>
    <w:pPr>
      <w:pBdr/>
      <w:spacing/>
      <w:ind/>
    </w:pPr>
    <w:rPr>
      <w:sz w:val="20"/>
    </w:rPr>
  </w:style>
  <w:style w:type="character" w:styleId="994">
    <w:name w:val="endnote reference"/>
    <w:basedOn w:val="830"/>
    <w:uiPriority w:val="99"/>
    <w:semiHidden/>
    <w:unhideWhenUsed/>
    <w:pPr>
      <w:pBdr/>
      <w:spacing/>
      <w:ind/>
    </w:pPr>
    <w:rPr>
      <w:vertAlign w:val="superscript"/>
    </w:rPr>
  </w:style>
  <w:style w:type="paragraph" w:styleId="995">
    <w:name w:val="toc 3"/>
    <w:basedOn w:val="820"/>
    <w:next w:val="820"/>
    <w:uiPriority w:val="39"/>
    <w:unhideWhenUsed/>
    <w:pPr>
      <w:pBdr/>
      <w:spacing w:after="57"/>
      <w:ind w:left="567"/>
    </w:pPr>
  </w:style>
  <w:style w:type="paragraph" w:styleId="996">
    <w:name w:val="toc 4"/>
    <w:basedOn w:val="820"/>
    <w:next w:val="820"/>
    <w:uiPriority w:val="39"/>
    <w:unhideWhenUsed/>
    <w:pPr>
      <w:pBdr/>
      <w:spacing w:after="57"/>
      <w:ind w:left="850"/>
    </w:pPr>
  </w:style>
  <w:style w:type="paragraph" w:styleId="997">
    <w:name w:val="toc 5"/>
    <w:basedOn w:val="820"/>
    <w:next w:val="820"/>
    <w:uiPriority w:val="39"/>
    <w:unhideWhenUsed/>
    <w:pPr>
      <w:pBdr/>
      <w:spacing w:after="57"/>
      <w:ind w:left="1134"/>
    </w:pPr>
  </w:style>
  <w:style w:type="paragraph" w:styleId="998">
    <w:name w:val="toc 6"/>
    <w:basedOn w:val="820"/>
    <w:next w:val="820"/>
    <w:uiPriority w:val="39"/>
    <w:unhideWhenUsed/>
    <w:pPr>
      <w:pBdr/>
      <w:spacing w:after="57"/>
      <w:ind w:left="1417"/>
    </w:pPr>
  </w:style>
  <w:style w:type="paragraph" w:styleId="999">
    <w:name w:val="toc 7"/>
    <w:basedOn w:val="820"/>
    <w:next w:val="820"/>
    <w:uiPriority w:val="39"/>
    <w:unhideWhenUsed/>
    <w:pPr>
      <w:pBdr/>
      <w:spacing w:after="57"/>
      <w:ind w:left="1701"/>
    </w:pPr>
  </w:style>
  <w:style w:type="paragraph" w:styleId="1000">
    <w:name w:val="toc 8"/>
    <w:basedOn w:val="820"/>
    <w:next w:val="820"/>
    <w:uiPriority w:val="39"/>
    <w:unhideWhenUsed/>
    <w:pPr>
      <w:pBdr/>
      <w:spacing w:after="57"/>
      <w:ind w:left="1984"/>
    </w:pPr>
  </w:style>
  <w:style w:type="paragraph" w:styleId="1001">
    <w:name w:val="toc 9"/>
    <w:basedOn w:val="820"/>
    <w:next w:val="820"/>
    <w:uiPriority w:val="39"/>
    <w:unhideWhenUsed/>
    <w:pPr>
      <w:pBdr/>
      <w:spacing w:after="57"/>
      <w:ind w:left="2268"/>
    </w:pPr>
  </w:style>
  <w:style w:type="paragraph" w:styleId="1002">
    <w:name w:val="table of figures"/>
    <w:basedOn w:val="820"/>
    <w:next w:val="820"/>
    <w:uiPriority w:val="99"/>
    <w:unhideWhenUsed/>
    <w:pPr>
      <w:pBdr/>
      <w:spacing w:after="0"/>
      <w:ind/>
    </w:pPr>
  </w:style>
  <w:style w:type="character" w:styleId="1003">
    <w:name w:val="Placeholder Text"/>
    <w:basedOn w:val="830"/>
    <w:uiPriority w:val="99"/>
    <w:semiHidden/>
    <w:pPr>
      <w:pBdr/>
      <w:spacing/>
      <w:ind/>
    </w:pPr>
    <w:rPr>
      <w:color w:val="808080"/>
    </w:rPr>
  </w:style>
  <w:style w:type="character" w:styleId="1004" w:customStyle="1">
    <w:name w:val="Título 1 Car"/>
    <w:basedOn w:val="830"/>
    <w:link w:val="821"/>
    <w:uiPriority w:val="9"/>
    <w:pPr>
      <w:pBdr/>
      <w:spacing/>
      <w:ind/>
    </w:pPr>
    <w:rPr>
      <w:rFonts w:cs="Segoe UI" w:asciiTheme="majorHAnsi" w:hAnsiTheme="majorHAnsi" w:eastAsiaTheme="majorEastAsia"/>
      <w:b/>
      <w:caps/>
      <w:color w:val="072bd9" w:themeColor="accent1"/>
      <w:spacing w:val="20"/>
      <w:sz w:val="40"/>
      <w:szCs w:val="72"/>
    </w:rPr>
  </w:style>
  <w:style w:type="paragraph" w:styleId="1005">
    <w:name w:val="TOC Heading"/>
    <w:basedOn w:val="821"/>
    <w:next w:val="820"/>
    <w:uiPriority w:val="39"/>
    <w:unhideWhenUsed/>
    <w:qFormat/>
    <w:pPr>
      <w:pBdr/>
      <w:spacing w:line="720" w:lineRule="exact"/>
      <w:ind/>
      <w:jc w:val="left"/>
      <w:outlineLvl w:val="9"/>
    </w:pPr>
  </w:style>
  <w:style w:type="paragraph" w:styleId="1006">
    <w:name w:val="toc 1"/>
    <w:basedOn w:val="820"/>
    <w:next w:val="820"/>
    <w:uiPriority w:val="39"/>
    <w:pPr>
      <w:pBdr/>
      <w:tabs>
        <w:tab w:val="left" w:leader="none" w:pos="440"/>
        <w:tab w:val="right" w:leader="dot" w:pos="9360"/>
      </w:tabs>
      <w:spacing w:after="100" w:line="240" w:lineRule="auto"/>
      <w:ind/>
    </w:pPr>
  </w:style>
  <w:style w:type="character" w:styleId="1007">
    <w:name w:val="Hyperlink"/>
    <w:basedOn w:val="830"/>
    <w:uiPriority w:val="99"/>
    <w:unhideWhenUsed/>
    <w:pPr>
      <w:pBdr/>
      <w:spacing/>
      <w:ind/>
    </w:pPr>
    <w:rPr>
      <w:color w:val="0563c1" w:themeColor="hyperlink"/>
      <w:u w:val="single"/>
    </w:rPr>
  </w:style>
  <w:style w:type="paragraph" w:styleId="1008">
    <w:name w:val="Balloon Text"/>
    <w:basedOn w:val="820"/>
    <w:link w:val="1009"/>
    <w:uiPriority w:val="99"/>
    <w:semiHidden/>
    <w:unhideWhenUsed/>
    <w:pPr>
      <w:pBdr/>
      <w:spacing w:after="0" w:line="240" w:lineRule="auto"/>
      <w:ind/>
    </w:pPr>
    <w:rPr>
      <w:rFonts w:ascii="Segoe UI" w:hAnsi="Segoe UI" w:cs="Segoe UI"/>
      <w:sz w:val="18"/>
      <w:szCs w:val="18"/>
    </w:rPr>
  </w:style>
  <w:style w:type="character" w:styleId="1009" w:customStyle="1">
    <w:name w:val="Texto de globo Car"/>
    <w:basedOn w:val="830"/>
    <w:link w:val="1008"/>
    <w:uiPriority w:val="99"/>
    <w:semiHidden/>
    <w:pPr>
      <w:pBdr/>
      <w:spacing/>
      <w:ind/>
    </w:pPr>
    <w:rPr>
      <w:rFonts w:ascii="Segoe UI" w:hAnsi="Segoe UI" w:cs="Segoe UI"/>
      <w:sz w:val="18"/>
      <w:szCs w:val="18"/>
    </w:rPr>
  </w:style>
  <w:style w:type="paragraph" w:styleId="1010">
    <w:name w:val="Normal (Web)"/>
    <w:basedOn w:val="820"/>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11" w:customStyle="1">
    <w:name w:val="Título 2 Car"/>
    <w:basedOn w:val="830"/>
    <w:link w:val="822"/>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12">
    <w:name w:val="toc 2"/>
    <w:basedOn w:val="820"/>
    <w:next w:val="820"/>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13">
    <w:name w:val="List Paragraph"/>
    <w:basedOn w:val="820"/>
    <w:uiPriority w:val="34"/>
    <w:qFormat/>
    <w:pPr>
      <w:pBdr/>
      <w:spacing/>
      <w:ind w:left="720"/>
      <w:contextualSpacing w:val="true"/>
    </w:pPr>
  </w:style>
  <w:style w:type="paragraph" w:styleId="1014">
    <w:name w:val="Header"/>
    <w:basedOn w:val="820"/>
    <w:link w:val="1015"/>
    <w:uiPriority w:val="99"/>
    <w:semiHidden/>
    <w:pPr>
      <w:pBdr/>
      <w:tabs>
        <w:tab w:val="center" w:leader="none" w:pos="4680"/>
        <w:tab w:val="right" w:leader="none" w:pos="9360"/>
      </w:tabs>
      <w:spacing w:after="0" w:line="240" w:lineRule="auto"/>
      <w:ind/>
    </w:pPr>
  </w:style>
  <w:style w:type="character" w:styleId="1015" w:customStyle="1">
    <w:name w:val="Encabezado Car"/>
    <w:basedOn w:val="830"/>
    <w:link w:val="1014"/>
    <w:uiPriority w:val="99"/>
    <w:semiHidden/>
    <w:pPr>
      <w:pBdr/>
      <w:spacing/>
      <w:ind/>
    </w:pPr>
  </w:style>
  <w:style w:type="paragraph" w:styleId="1016">
    <w:name w:val="Footer"/>
    <w:basedOn w:val="820"/>
    <w:link w:val="1017"/>
    <w:uiPriority w:val="99"/>
    <w:semiHidden/>
    <w:pPr>
      <w:pBdr/>
      <w:spacing w:after="0" w:line="240" w:lineRule="auto"/>
      <w:ind/>
      <w:jc w:val="right"/>
    </w:pPr>
    <w:rPr>
      <w:rFonts w:ascii="Bookman Old Style" w:hAnsi="Bookman Old Style"/>
      <w:color w:val="072bd9" w:themeColor="accent1"/>
    </w:rPr>
  </w:style>
  <w:style w:type="character" w:styleId="1017" w:customStyle="1">
    <w:name w:val="Pie de página Car"/>
    <w:basedOn w:val="830"/>
    <w:link w:val="1016"/>
    <w:uiPriority w:val="99"/>
    <w:semiHidden/>
    <w:pPr>
      <w:pBdr/>
      <w:spacing/>
      <w:ind/>
    </w:pPr>
    <w:rPr>
      <w:rFonts w:ascii="Bookman Old Style" w:hAnsi="Bookman Old Style"/>
      <w:color w:val="072bd9" w:themeColor="accent1"/>
      <w:sz w:val="24"/>
    </w:rPr>
  </w:style>
  <w:style w:type="paragraph" w:styleId="1018">
    <w:name w:val="List Bullet"/>
    <w:basedOn w:val="820"/>
    <w:uiPriority w:val="99"/>
    <w:pPr>
      <w:numPr>
        <w:numId w:val="1"/>
      </w:numPr>
      <w:pBdr/>
      <w:spacing/>
      <w:ind/>
      <w:contextualSpacing w:val="true"/>
    </w:pPr>
  </w:style>
  <w:style w:type="paragraph" w:styleId="1019">
    <w:name w:val="Subtitle"/>
    <w:basedOn w:val="821"/>
    <w:next w:val="820"/>
    <w:link w:val="1020"/>
    <w:uiPriority w:val="11"/>
    <w:qFormat/>
    <w:pPr>
      <w:pBdr/>
      <w:spacing w:line="240" w:lineRule="auto"/>
      <w:ind/>
      <w:jc w:val="left"/>
    </w:pPr>
    <w:rPr>
      <w:sz w:val="32"/>
    </w:rPr>
  </w:style>
  <w:style w:type="character" w:styleId="1020" w:customStyle="1">
    <w:name w:val="Subtítulo Car"/>
    <w:basedOn w:val="830"/>
    <w:link w:val="1019"/>
    <w:uiPriority w:val="11"/>
    <w:pPr>
      <w:pBdr/>
      <w:spacing/>
      <w:ind/>
    </w:pPr>
    <w:rPr>
      <w:rFonts w:cs="Segoe UI" w:asciiTheme="majorHAnsi" w:hAnsiTheme="majorHAnsi" w:eastAsiaTheme="majorEastAsia"/>
      <w:caps/>
      <w:color w:val="072bd9" w:themeColor="accent1"/>
      <w:spacing w:val="20"/>
      <w:sz w:val="32"/>
      <w:szCs w:val="72"/>
    </w:rPr>
  </w:style>
  <w:style w:type="paragraph" w:styleId="1021">
    <w:name w:val="Title"/>
    <w:basedOn w:val="1019"/>
    <w:next w:val="820"/>
    <w:link w:val="1022"/>
    <w:uiPriority w:val="10"/>
    <w:pPr>
      <w:pBdr/>
      <w:spacing w:after="0"/>
      <w:ind/>
    </w:pPr>
    <w:rPr>
      <w:sz w:val="130"/>
    </w:rPr>
  </w:style>
  <w:style w:type="character" w:styleId="1022" w:customStyle="1">
    <w:name w:val="Título Car"/>
    <w:basedOn w:val="830"/>
    <w:link w:val="1021"/>
    <w:uiPriority w:val="10"/>
    <w:pPr>
      <w:pBdr/>
      <w:spacing/>
      <w:ind/>
    </w:pPr>
    <w:rPr>
      <w:rFonts w:cs="Segoe UI" w:asciiTheme="majorHAnsi" w:hAnsiTheme="majorHAnsi" w:eastAsiaTheme="majorEastAsia"/>
      <w:caps/>
      <w:color w:val="072bd9" w:themeColor="accent1"/>
      <w:spacing w:val="20"/>
      <w:sz w:val="130"/>
      <w:szCs w:val="40"/>
    </w:rPr>
  </w:style>
  <w:style w:type="table" w:styleId="1023">
    <w:name w:val="Table Grid"/>
    <w:basedOn w:val="831"/>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4" w:customStyle="1">
    <w:name w:val="Graphic"/>
    <w:basedOn w:val="820"/>
    <w:next w:val="820"/>
    <w:link w:val="1025"/>
    <w:semiHidden/>
    <w:pPr>
      <w:keepNext w:val="true"/>
      <w:pBdr/>
      <w:spacing/>
      <w:ind/>
    </w:pPr>
  </w:style>
  <w:style w:type="character" w:styleId="1025" w:customStyle="1">
    <w:name w:val="Graphic Char"/>
    <w:basedOn w:val="830"/>
    <w:link w:val="1024"/>
    <w:semiHidden/>
    <w:pPr>
      <w:pBdr/>
      <w:spacing/>
      <w:ind/>
    </w:pPr>
    <w:rPr>
      <w:color w:val="03156c" w:themeColor="accent3" w:themeShade="80"/>
      <w:sz w:val="24"/>
    </w:rPr>
  </w:style>
  <w:style w:type="character" w:styleId="1026" w:customStyle="1">
    <w:name w:val="Nicht aufgelöste Erwähnung1"/>
    <w:basedOn w:val="830"/>
    <w:uiPriority w:val="99"/>
    <w:semiHidden/>
    <w:unhideWhenUsed/>
    <w:pPr>
      <w:pBdr/>
      <w:spacing/>
      <w:ind/>
    </w:pPr>
    <w:rPr>
      <w:color w:val="605e5c"/>
      <w:shd w:val="clear" w:color="auto" w:fill="e1dfdd"/>
    </w:rPr>
  </w:style>
  <w:style w:type="table" w:styleId="1027" w:customStyle="1">
    <w:name w:val="Style1"/>
    <w:basedOn w:val="831"/>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Style2"/>
    <w:basedOn w:val="831"/>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Author"/>
    <w:basedOn w:val="1016"/>
    <w:pPr>
      <w:pBdr/>
      <w:spacing/>
      <w:ind/>
      <w:jc w:val="left"/>
    </w:pPr>
    <w:rPr>
      <w:rFonts w:cs="Times New Roman (Body CS)"/>
      <w:caps/>
      <w:spacing w:val="20"/>
      <w:sz w:val="36"/>
    </w:rPr>
  </w:style>
  <w:style w:type="paragraph" w:styleId="1030" w:customStyle="1">
    <w:name w:val="Style4"/>
    <w:basedOn w:val="1006"/>
    <w:semiHidden/>
    <w:pPr>
      <w:pBdr/>
      <w:spacing/>
      <w:ind/>
    </w:pPr>
    <w:rPr>
      <w:rFonts w:cs="Times New Roman (Body CS)"/>
      <w:b/>
      <w:caps/>
      <w:color w:val="072bd9" w:themeColor="accent3"/>
      <w:spacing w:val="20"/>
    </w:rPr>
  </w:style>
  <w:style w:type="paragraph" w:styleId="1031" w:customStyle="1">
    <w:name w:val="COVER TITLE"/>
    <w:basedOn w:val="821"/>
    <w:link w:val="1032"/>
    <w:pPr>
      <w:pBdr/>
      <w:spacing/>
      <w:ind/>
    </w:pPr>
    <w:rPr>
      <w:sz w:val="96"/>
    </w:rPr>
  </w:style>
  <w:style w:type="character" w:styleId="1032" w:customStyle="1">
    <w:name w:val="COVER TITLE Char"/>
    <w:basedOn w:val="1004"/>
    <w:link w:val="1031"/>
    <w:pPr>
      <w:pBdr/>
      <w:spacing/>
      <w:ind/>
    </w:pPr>
    <w:rPr>
      <w:rFonts w:cs="Segoe UI" w:asciiTheme="majorHAnsi" w:hAnsiTheme="majorHAnsi" w:eastAsiaTheme="majorEastAsia"/>
      <w:b/>
      <w:caps/>
      <w:color w:val="072bd9" w:themeColor="accent1"/>
      <w:spacing w:val="20"/>
      <w:sz w:val="96"/>
      <w:szCs w:val="72"/>
    </w:rPr>
  </w:style>
  <w:style w:type="paragraph" w:styleId="1033" w:customStyle="1">
    <w:name w:val="Cover subtitle"/>
    <w:basedOn w:val="1031"/>
    <w:link w:val="1034"/>
    <w:pPr>
      <w:pBdr/>
      <w:spacing/>
      <w:ind/>
    </w:pPr>
    <w:rPr>
      <w:sz w:val="56"/>
    </w:rPr>
  </w:style>
  <w:style w:type="character" w:styleId="1034" w:customStyle="1">
    <w:name w:val="Cover subtitle Char"/>
    <w:basedOn w:val="1032"/>
    <w:link w:val="1033"/>
    <w:pPr>
      <w:pBdr/>
      <w:spacing/>
      <w:ind/>
    </w:pPr>
    <w:rPr>
      <w:rFonts w:cs="Segoe UI" w:asciiTheme="majorHAnsi" w:hAnsiTheme="majorHAnsi" w:eastAsiaTheme="majorEastAsia"/>
      <w:b/>
      <w:caps/>
      <w:color w:val="072bd9" w:themeColor="accent1"/>
      <w:spacing w:val="20"/>
      <w:sz w:val="56"/>
      <w:szCs w:val="72"/>
    </w:rPr>
  </w:style>
  <w:style w:type="paragraph" w:styleId="1035">
    <w:name w:val="HTML Preformatted"/>
    <w:basedOn w:val="820"/>
    <w:link w:val="1036"/>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36" w:customStyle="1">
    <w:name w:val="HTML con formato previo Car"/>
    <w:basedOn w:val="830"/>
    <w:link w:val="1035"/>
    <w:uiPriority w:val="99"/>
    <w:semiHidden/>
    <w:pPr>
      <w:pBdr/>
      <w:spacing/>
      <w:ind/>
    </w:pPr>
    <w:rPr>
      <w:rFonts w:ascii="Courier New" w:hAnsi="Courier New" w:eastAsia="Times New Roman" w:cs="Courier New"/>
      <w:sz w:val="20"/>
      <w:szCs w:val="20"/>
    </w:rPr>
  </w:style>
  <w:style w:type="character" w:styleId="1037" w:customStyle="1">
    <w:name w:val="y2iqfc"/>
    <w:basedOn w:val="830"/>
    <w:pPr>
      <w:pBdr/>
      <w:spacing/>
      <w:ind/>
    </w:pPr>
  </w:style>
  <w:style w:type="character" w:styleId="1038">
    <w:name w:val="Strong"/>
    <w:basedOn w:val="830"/>
    <w:uiPriority w:val="22"/>
    <w:qFormat/>
    <w:pPr>
      <w:pBdr/>
      <w:spacing/>
      <w:ind/>
    </w:pPr>
    <w:rPr>
      <w:b/>
      <w:bCs/>
    </w:rPr>
  </w:style>
  <w:style w:type="character" w:styleId="1039">
    <w:name w:val="annotation reference"/>
    <w:basedOn w:val="830"/>
    <w:uiPriority w:val="99"/>
    <w:semiHidden/>
    <w:unhideWhenUsed/>
    <w:pPr>
      <w:pBdr/>
      <w:spacing/>
      <w:ind/>
    </w:pPr>
    <w:rPr>
      <w:sz w:val="16"/>
      <w:szCs w:val="16"/>
    </w:rPr>
  </w:style>
  <w:style w:type="paragraph" w:styleId="1040">
    <w:name w:val="annotation text"/>
    <w:basedOn w:val="820"/>
    <w:link w:val="1041"/>
    <w:uiPriority w:val="99"/>
    <w:semiHidden/>
    <w:unhideWhenUsed/>
    <w:pPr>
      <w:pBdr/>
      <w:spacing w:line="240" w:lineRule="auto"/>
      <w:ind/>
    </w:pPr>
    <w:rPr>
      <w:sz w:val="20"/>
      <w:szCs w:val="20"/>
    </w:rPr>
  </w:style>
  <w:style w:type="character" w:styleId="1041" w:customStyle="1">
    <w:name w:val="Texto comentario Car"/>
    <w:basedOn w:val="830"/>
    <w:link w:val="1040"/>
    <w:uiPriority w:val="99"/>
    <w:semiHidden/>
    <w:pPr>
      <w:pBdr/>
      <w:spacing/>
      <w:ind/>
    </w:pPr>
    <w:rPr>
      <w:color w:val="03156c" w:themeColor="accent3" w:themeShade="80"/>
      <w:sz w:val="20"/>
      <w:szCs w:val="20"/>
      <w:lang w:val="en-GB"/>
    </w:rPr>
  </w:style>
  <w:style w:type="paragraph" w:styleId="1042">
    <w:name w:val="annotation subject"/>
    <w:basedOn w:val="1040"/>
    <w:next w:val="1040"/>
    <w:link w:val="1043"/>
    <w:uiPriority w:val="99"/>
    <w:semiHidden/>
    <w:unhideWhenUsed/>
    <w:pPr>
      <w:pBdr/>
      <w:spacing/>
      <w:ind/>
    </w:pPr>
    <w:rPr>
      <w:b/>
      <w:bCs/>
    </w:rPr>
  </w:style>
  <w:style w:type="character" w:styleId="1043" w:customStyle="1">
    <w:name w:val="Asunto del comentario Car"/>
    <w:basedOn w:val="1041"/>
    <w:link w:val="1042"/>
    <w:uiPriority w:val="99"/>
    <w:semiHidden/>
    <w:pPr>
      <w:pBdr/>
      <w:spacing/>
      <w:ind/>
    </w:pPr>
    <w:rPr>
      <w:b/>
      <w:bCs/>
      <w:color w:val="03156c" w:themeColor="accent3" w:themeShade="80"/>
      <w:sz w:val="20"/>
      <w:szCs w:val="20"/>
      <w:lang w:val="en-GB"/>
    </w:rPr>
  </w:style>
  <w:style w:type="character" w:styleId="1044" w:customStyle="1">
    <w:name w:val="Unresolved Mention"/>
    <w:basedOn w:val="830"/>
    <w:uiPriority w:val="99"/>
    <w:semiHidden/>
    <w:unhideWhenUsed/>
    <w:pPr>
      <w:pBdr/>
      <w:spacing/>
      <w:ind/>
    </w:pPr>
    <w:rPr>
      <w:color w:val="605e5c"/>
      <w:shd w:val="clear" w:color="auto" w:fill="e1dfdd"/>
    </w:rPr>
  </w:style>
  <w:style w:type="table" w:styleId="1045" w:customStyle="1">
    <w:name w:val="Tabellenraster1"/>
    <w:basedOn w:val="831"/>
    <w:next w:val="1023"/>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46" w:customStyle="1">
    <w:name w:val="Strong Emphasis"/>
    <w:qFormat/>
    <w:pPr>
      <w:pBdr/>
      <w:spacing/>
      <w:ind/>
    </w:pPr>
    <w:rPr>
      <w:b/>
      <w:bCs/>
    </w:rPr>
  </w:style>
  <w:style w:type="paragraph" w:styleId="1047">
    <w:name w:val="Body Text"/>
    <w:basedOn w:val="820"/>
    <w:link w:val="1048"/>
    <w:pPr>
      <w:pBdr/>
      <w:spacing w:after="140" w:line="276" w:lineRule="auto"/>
      <w:ind/>
    </w:pPr>
    <w:rPr>
      <w:rFonts w:ascii="Corbel" w:hAnsi="Corbel" w:eastAsia="Corbel"/>
    </w:rPr>
  </w:style>
  <w:style w:type="character" w:styleId="1048" w:customStyle="1">
    <w:name w:val="Texto independiente Car"/>
    <w:basedOn w:val="830"/>
    <w:link w:val="1047"/>
    <w:pPr>
      <w:pBdr/>
      <w:spacing/>
      <w:ind/>
    </w:pPr>
    <w:rPr>
      <w:rFonts w:ascii="Corbel" w:hAnsi="Corbel" w:eastAsia="Corbel"/>
      <w:color w:val="03156c" w:themeColor="accent3" w:themeShade="80"/>
      <w:sz w:val="24"/>
      <w:lang w:val="en-GB"/>
    </w:rPr>
  </w:style>
  <w:style w:type="paragraph" w:styleId="1049" w:customStyle="1">
    <w:name w:val="parrafo"/>
    <w:basedOn w:val="820"/>
    <w:pPr>
      <w:pBdr/>
      <w:spacing w:after="100" w:afterAutospacing="1" w:before="100" w:beforeAutospacing="1" w:line="240" w:lineRule="auto"/>
      <w:ind/>
      <w:jc w:val="left"/>
    </w:pPr>
    <w:rPr>
      <w:rFonts w:ascii="Times New Roman" w:hAnsi="Times New Roman" w:eastAsia="Times New Roman" w:cs="Times New Roman"/>
      <w:color w:val="auto"/>
      <w:szCs w:val="24"/>
      <w:lang w:val="gl-ES" w:eastAsia="gl-ES"/>
    </w:rPr>
  </w:style>
  <w:style w:type="character" w:styleId="1050">
    <w:name w:val="Emphasis"/>
    <w:basedOn w:val="830"/>
    <w:uiPriority w:val="20"/>
    <w:qFormat/>
    <w:pPr>
      <w:pBdr/>
      <w:spacing/>
      <w:ind/>
    </w:pPr>
    <w:rPr>
      <w:i/>
      <w:iCs/>
    </w:rPr>
  </w:style>
  <w:style w:type="paragraph" w:styleId="1051" w:customStyle="1">
    <w:name w:val="parrafo_2"/>
    <w:basedOn w:val="820"/>
    <w:pPr>
      <w:pBdr/>
      <w:spacing w:after="100" w:afterAutospacing="1" w:before="100" w:beforeAutospacing="1" w:line="240" w:lineRule="auto"/>
      <w:ind/>
      <w:jc w:val="left"/>
    </w:pPr>
    <w:rPr>
      <w:rFonts w:ascii="Times New Roman" w:hAnsi="Times New Roman" w:eastAsia="Times New Roman" w:cs="Times New Roman"/>
      <w:color w:val="auto"/>
      <w:szCs w:val="24"/>
      <w:lang w:val="gl-ES" w:eastAsia="gl-ES"/>
    </w:rPr>
  </w:style>
  <w:style w:type="character" w:styleId="1052">
    <w:name w:val="FollowedHyperlink"/>
    <w:basedOn w:val="830"/>
    <w:uiPriority w:val="99"/>
    <w:semiHidden/>
    <w:unhideWhenUsed/>
    <w:pPr>
      <w:pBdr/>
      <w:spacing/>
      <w:ind/>
    </w:pPr>
    <w:rPr>
      <w:color w:val="954f72" w:themeColor="followedHyperlink"/>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hyperlink" Target="https://nextcloud.suedwind.at/index.php/s/7miNHpceogMtibL" TargetMode="External"/><Relationship Id="rId17" Type="http://schemas.openxmlformats.org/officeDocument/2006/relationships/image" Target="media/image4.png"/><Relationship Id="rId18" Type="http://schemas.openxmlformats.org/officeDocument/2006/relationships/hyperlink" Target="https://www.youtube.com/watch?v=ACP3Sd-yChY&amp;t=27s" TargetMode="External"/><Relationship Id="rId19" Type="http://schemas.openxmlformats.org/officeDocument/2006/relationships/hyperlink" Target="http://www.aguamod-sudoe.eu/handbook/content/pdf/seriousgame/index.html" TargetMode="External"/><Relationship Id="rId20" Type="http://schemas.openxmlformats.org/officeDocument/2006/relationships/hyperlink" Target="https://ed.ted.com/lessons/can-the-economy-grow-forever" TargetMode="External"/><Relationship Id="rId21" Type="http://schemas.openxmlformats.org/officeDocument/2006/relationships/hyperlink" Target="https://www.youtube.com/watch?v=b1f-G6v3voA"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yperlink" Target="https://www.canva.com/design/DAGbtPTctpY/4a-eV-IsAi-ZqewDUjntbA/edit?utm_content=DAGbtPTctpY&amp;utm_campaign=designshare&amp;utm_medium=link2&amp;utm_source=sharebutton" TargetMode="External"/><Relationship Id="rId25" Type="http://schemas.openxmlformats.org/officeDocument/2006/relationships/hyperlink" Target="https://www.waterfootprint.org/resources-explained/school-resources/" TargetMode="External"/><Relationship Id="rId26" Type="http://schemas.openxmlformats.org/officeDocument/2006/relationships/hyperlink" Target="https://www.waterfootprint.org/resources/schoolresources/Explanation_Water_Footprint_Game_for_the_instructor.pdf" TargetMode="External"/><Relationship Id="rId27" Type="http://schemas.openxmlformats.org/officeDocument/2006/relationships/hyperlink" Target="https://www.waterfootprint.org/resources/schoolresources/Erlaeuterungen_Water_Footprint_Game_fuer_Spielleitung.pdf" TargetMode="External"/><Relationship Id="rId28" Type="http://schemas.openxmlformats.org/officeDocument/2006/relationships/hyperlink" Target="https://www.waterfootprint.org/resources/schoolresources/Uitleg_Water_Footprint_Spel_ten_behoeve_van_de_instructeur.pdf" TargetMode="External"/><Relationship Id="rId29" Type="http://schemas.openxmlformats.org/officeDocument/2006/relationships/hyperlink" Target="https://www.waterfootprint.org/resources/schoolresources/Products.pdf" TargetMode="External"/><Relationship Id="rId30" Type="http://schemas.openxmlformats.org/officeDocument/2006/relationships/hyperlink" Target="https://www.waterfootprint.org/resources/schoolresources/Zutaten.pdf" TargetMode="External"/><Relationship Id="rId31" Type="http://schemas.openxmlformats.org/officeDocument/2006/relationships/hyperlink" Target="https://www.waterfootprint.org/resources/schoolresources/Producten.pdf" TargetMode="External"/><Relationship Id="rId32" Type="http://schemas.openxmlformats.org/officeDocument/2006/relationships/hyperlink" Target="https://www.waterfootprint.org/resources/schoolresources/Recipe_book.pdf" TargetMode="External"/><Relationship Id="rId33" Type="http://schemas.openxmlformats.org/officeDocument/2006/relationships/hyperlink" Target="https://www.waterfootprint.org/resources/schoolresources/Kochbuch.pdf" TargetMode="External"/><Relationship Id="rId34" Type="http://schemas.openxmlformats.org/officeDocument/2006/relationships/hyperlink" Target="https://www.waterfootprint.org/resources/schoolresources/Gerechtenboekje.pdf"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www.w3.org/2001/XMLSchema-instance"/>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16504D4B-06F4-4165-A03A-EA06E5C9D79A}">
  <ds:schemaRefs>
    <ds:schemaRef ds:uri="http://schemas.openxmlformats.org/package/2006/metadata/core-properties"/>
    <ds:schemaRef ds:uri="http://schemas.microsoft.com/office/2006/metadata/properties"/>
    <ds:schemaRef ds:uri="http://schemas.microsoft.com/office/2006/documentManagement/types"/>
    <ds:schemaRef ds:uri="045a6bc1-fa83-4c69-9128-fa146382597a"/>
    <ds:schemaRef ds:uri="http://purl.org/dc/dcmitype/"/>
    <ds:schemaRef ds:uri="http://purl.org/dc/elements/1.1/"/>
    <ds:schemaRef ds:uri="http://purl.org/dc/terms/"/>
    <ds:schemaRef ds:uri="http://schemas.microsoft.com/office/infopath/2007/PartnerControls"/>
    <ds:schemaRef ds:uri="b526d687-e64b-4dd0-b08c-b6a7cfd6643b"/>
    <ds:schemaRef ds:uri="http://www.w3.org/XML/1998/namespace"/>
    <ds:schemaRef ds:uri="http://www.w3.org/2001/XMLSchema-instance"/>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881A2A76-DBB1-4809-8D34-C0DCFF62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Anonymous</cp:lastModifiedBy>
  <cp:revision>1</cp:revision>
  <dcterms:modified xsi:type="dcterms:W3CDTF">2026-03-09T09:58:24Z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